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sdt-20231231x10k.htm"/>
        <w:bookmarkStart w:id="1" w:name="kshsdt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100" w:after="0"/>
        <w:ind w:left="0" w:right="0" w:hanging="0"/>
        <w:jc w:val="center"/>
        <w:rPr>
          <w:rFonts w:ascii="Times New Roman;Times;serif" w:hAnsi="Times New Roman;Times;serif"/>
          <w:b/>
          <w:sz w:val="14"/>
        </w:rPr>
      </w:pPr>
      <w:bookmarkStart w:id="2" w:name="_a02acbcc_1329_49ff_b319_cb50172420c4"/>
      <w:bookmarkEnd w:id="2"/>
      <w:r>
        <w:rPr>
          <w:rFonts w:ascii="Times New Roman;Times;serif" w:hAnsi="Times New Roman;Times;serif"/>
          <w:b/>
          <w:sz w:val="14"/>
        </w:rPr>
        <w:t>UNITED STATES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AND EXCHANGE COMMISSION</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FORM 10-K</w:t>
      </w:r>
    </w:p>
    <w:p>
      <w:pPr>
        <w:pStyle w:val="Normal"/>
        <w:bidi w:val="0"/>
        <w:spacing w:before="0" w:after="0"/>
        <w:jc w:val="left"/>
        <w:rPr>
          <w:sz w:val="4"/>
          <w:szCs w:val="4"/>
        </w:rPr>
      </w:pPr>
      <w:r>
        <w:rPr>
          <w:sz w:val="4"/>
          <w:szCs w:val="4"/>
        </w:rPr>
      </w:r>
      <w:bookmarkStart w:id="3" w:name="Tc_29wWZI23V064aUI2nStVXQ_1_1"/>
      <w:bookmarkStart w:id="4" w:name="_362fe661_929f_4247_ac6d_361362aede2f"/>
      <w:bookmarkStart w:id="5" w:name="Tc_29wWZI23V064aUI2nStVXQ_1_1"/>
      <w:bookmarkStart w:id="6" w:name="_362fe661_929f_4247_ac6d_361362aede2f"/>
      <w:bookmarkEnd w:id="5"/>
      <w:bookmarkEnd w:id="6"/>
    </w:p>
    <w:tbl>
      <w:tblPr>
        <w:tblW w:w="5552" w:type="dxa"/>
        <w:jc w:val="left"/>
        <w:tblInd w:w="0" w:type="dxa"/>
        <w:tblLayout w:type="fixed"/>
        <w:tblCellMar>
          <w:top w:w="0" w:type="dxa"/>
          <w:left w:w="0" w:type="dxa"/>
          <w:bottom w:w="0" w:type="dxa"/>
          <w:right w:w="0" w:type="dxa"/>
        </w:tblCellMar>
      </w:tblPr>
      <w:tblGrid>
        <w:gridCol w:w="331"/>
        <w:gridCol w:w="5221"/>
      </w:tblGrid>
      <w:tr>
        <w:trPr/>
        <w:tc>
          <w:tcPr>
            <w:tcW w:w="331"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5221" w:type="dxa"/>
            <w:tcBorders/>
            <w:vAlign w:val="center"/>
          </w:tcPr>
          <w:p>
            <w:pPr>
              <w:pStyle w:val="TableContents"/>
              <w:bidi w:val="0"/>
              <w:spacing w:before="0" w:after="0"/>
              <w:ind w:left="0" w:right="0" w:hanging="0"/>
              <w:jc w:val="both"/>
              <w:rPr>
                <w:rFonts w:ascii="Times New Roman;Times;serif" w:hAnsi="Times New Roman;Times;serif"/>
                <w:b/>
                <w:sz w:val="14"/>
              </w:rPr>
            </w:pPr>
            <w:r>
              <w:rPr>
                <w:rFonts w:ascii="Times New Roman;Times;serif" w:hAnsi="Times New Roman;Times;serif"/>
                <w:b/>
                <w:sz w:val="14"/>
              </w:rPr>
              <w:t xml:space="preserve">Annual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 the Fiscal Year Ended December 31, 2023</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sz w:val="14"/>
        </w:rPr>
        <w:t>or</w:t>
      </w:r>
    </w:p>
    <w:p>
      <w:pPr>
        <w:pStyle w:val="Normal"/>
        <w:bidi w:val="0"/>
        <w:spacing w:before="0" w:after="0"/>
        <w:jc w:val="left"/>
        <w:rPr>
          <w:sz w:val="4"/>
          <w:szCs w:val="4"/>
        </w:rPr>
      </w:pPr>
      <w:r>
        <w:rPr>
          <w:sz w:val="4"/>
          <w:szCs w:val="4"/>
        </w:rPr>
      </w:r>
      <w:bookmarkStart w:id="7" w:name="Tc_85pKoV8uHEWFccYCdI8reg_1_1"/>
      <w:bookmarkStart w:id="8" w:name="_5292f84f_5f68_4f11_97f6_86e3bbf8a0f9"/>
      <w:bookmarkStart w:id="9" w:name="Tc_85pKoV8uHEWFccYCdI8reg_1_1"/>
      <w:bookmarkStart w:id="10" w:name="_5292f84f_5f68_4f11_97f6_86e3bbf8a0f9"/>
      <w:bookmarkEnd w:id="9"/>
      <w:bookmarkEnd w:id="10"/>
    </w:p>
    <w:tbl>
      <w:tblPr>
        <w:tblW w:w="5732" w:type="dxa"/>
        <w:jc w:val="left"/>
        <w:tblInd w:w="0" w:type="dxa"/>
        <w:tblLayout w:type="fixed"/>
        <w:tblCellMar>
          <w:top w:w="0" w:type="dxa"/>
          <w:left w:w="0" w:type="dxa"/>
          <w:bottom w:w="0" w:type="dxa"/>
          <w:right w:w="0" w:type="dxa"/>
        </w:tblCellMar>
      </w:tblPr>
      <w:tblGrid>
        <w:gridCol w:w="331"/>
        <w:gridCol w:w="5401"/>
      </w:tblGrid>
      <w:tr>
        <w:trPr/>
        <w:tc>
          <w:tcPr>
            <w:tcW w:w="331" w:type="dxa"/>
            <w:tcBorders/>
            <w:vAlign w:val="center"/>
          </w:tcPr>
          <w:p>
            <w:pPr>
              <w:pStyle w:val="TableContents"/>
              <w:bidi w:val="0"/>
              <w:spacing w:before="0" w:after="0"/>
              <w:ind w:left="0" w:right="0" w:hanging="0"/>
              <w:jc w:val="left"/>
              <w:rPr/>
            </w:pPr>
            <w:r>
              <w:rPr/>
              <w:t>​</w:t>
            </w:r>
          </w:p>
        </w:tc>
        <w:tc>
          <w:tcPr>
            <w:tcW w:w="54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5401" w:type="dxa"/>
            <w:tcBorders/>
            <w:vAlign w:val="center"/>
          </w:tcPr>
          <w:p>
            <w:pPr>
              <w:pStyle w:val="TableContents"/>
              <w:bidi w:val="0"/>
              <w:spacing w:before="0" w:after="0"/>
              <w:ind w:left="0" w:right="0" w:hanging="0"/>
              <w:jc w:val="both"/>
              <w:rPr>
                <w:rFonts w:ascii="Times New Roman;Times;serif" w:hAnsi="Times New Roman;Times;serif"/>
                <w:b/>
                <w:sz w:val="14"/>
              </w:rPr>
            </w:pPr>
            <w:r>
              <w:rPr>
                <w:rFonts w:ascii="Times New Roman;Times;serif" w:hAnsi="Times New Roman;Times;serif"/>
                <w:b/>
                <w:sz w:val="1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_____ to _____</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Commission File No. 001-38445</w:t>
      </w:r>
    </w:p>
    <w:p>
      <w:pPr>
        <w:pStyle w:val="TextBody"/>
        <w:bidi w:val="0"/>
        <w:spacing w:before="0" w:after="100"/>
        <w:ind w:left="0" w:right="0" w:hanging="0"/>
        <w:jc w:val="center"/>
        <w:rPr/>
      </w:pPr>
      <w:r>
        <w:rPr/>
        <w:drawing>
          <wp:inline distT="0" distB="0" distL="0" distR="0">
            <wp:extent cx="176212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89535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HELIUS MEDICAL TECHNOLOGIES,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 w:name="Tc_qZbWWFFVs0mCwEv2sx-u1Q_1_2"/>
      <w:bookmarkStart w:id="12" w:name="Tc_Dj5F6UXl00GZYxp8FDoAgA_1_0"/>
      <w:bookmarkStart w:id="13" w:name="_1b3a2890_f602_42e8_9f52_878c9fccb1c3"/>
      <w:bookmarkStart w:id="14" w:name="Tc_qZbWWFFVs0mCwEv2sx-u1Q_1_2"/>
      <w:bookmarkStart w:id="15" w:name="Tc_Dj5F6UXl00GZYxp8FDoAgA_1_0"/>
      <w:bookmarkStart w:id="16" w:name="_1b3a2890_f602_42e8_9f52_878c9fccb1c3"/>
      <w:bookmarkEnd w:id="14"/>
      <w:bookmarkEnd w:id="15"/>
      <w:bookmarkEnd w:id="16"/>
    </w:p>
    <w:tbl>
      <w:tblPr>
        <w:tblW w:w="4003" w:type="dxa"/>
        <w:jc w:val="left"/>
        <w:tblInd w:w="0" w:type="dxa"/>
        <w:tblLayout w:type="fixed"/>
        <w:tblCellMar>
          <w:top w:w="0" w:type="dxa"/>
          <w:left w:w="0" w:type="dxa"/>
          <w:bottom w:w="0" w:type="dxa"/>
          <w:right w:w="0" w:type="dxa"/>
        </w:tblCellMar>
      </w:tblPr>
      <w:tblGrid>
        <w:gridCol w:w="2431"/>
        <w:gridCol w:w="326"/>
        <w:gridCol w:w="1246"/>
      </w:tblGrid>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36-4787690</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(State or other jurisdiction of</w:t>
            </w:r>
            <w:r>
              <w:rPr>
                <w:rFonts w:ascii="Times New Roman;Times;serif" w:hAnsi="Times New Roman;Times;serif"/>
                <w:sz w:val="14"/>
              </w:rPr>
              <w:br/>
            </w:r>
            <w:r>
              <w:rPr>
                <w:rFonts w:ascii="Times New Roman;Times;serif" w:hAnsi="Times New Roman;Times;serif"/>
                <w:b/>
                <w:sz w:val="14"/>
              </w:rPr>
              <w:t>incorporation or organization)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642 Newtown Yardley Road, Suite 100</w:t>
            </w:r>
            <w:r>
              <w:rPr>
                <w:rFonts w:ascii="Times New Roman;Times;serif" w:hAnsi="Times New Roman;Times;serif"/>
                <w:sz w:val="14"/>
              </w:rPr>
              <w:br/>
            </w:r>
            <w:r>
              <w:rPr>
                <w:rFonts w:ascii="Times New Roman;Times;serif" w:hAnsi="Times New Roman;Times;serif"/>
                <w:b/>
                <w:sz w:val="14"/>
              </w:rPr>
              <w:t>Newtown, Pennsylvania</w:t>
            </w:r>
            <w:r>
              <w:rPr>
                <w:rFonts w:ascii="Times New Roman;Times;serif" w:hAnsi="Times New Roman;Times;serif"/>
                <w:sz w:val="14"/>
              </w:rPr>
              <w:br/>
            </w:r>
            <w:r>
              <w:rPr>
                <w:rFonts w:ascii="Times New Roman;Times;serif" w:hAnsi="Times New Roman;Times;serif"/>
                <w:b/>
                <w:sz w:val="14"/>
              </w:rPr>
              <w:t>(Address of principal executive offices)</w:t>
            </w:r>
          </w:p>
        </w:tc>
        <w:tc>
          <w:tcPr>
            <w:tcW w:w="326" w:type="dxa"/>
            <w:tcBorders/>
            <w:vAlign w:val="center"/>
          </w:tcPr>
          <w:p>
            <w:pPr>
              <w:pStyle w:val="TableContents"/>
              <w:bidi w:val="0"/>
              <w:spacing w:before="0" w:after="24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(I.R.S. Employer</w:t>
            </w:r>
            <w:r>
              <w:rPr>
                <w:rFonts w:ascii="Times New Roman;Times;serif" w:hAnsi="Times New Roman;Times;serif"/>
                <w:sz w:val="14"/>
              </w:rPr>
              <w:br/>
            </w:r>
            <w:r>
              <w:rPr>
                <w:rFonts w:ascii="Times New Roman;Times;serif" w:hAnsi="Times New Roman;Times;serif"/>
                <w:b/>
                <w:sz w:val="14"/>
              </w:rPr>
              <w:t>Identification No.)</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18940</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 (215) 944-6100</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12(b) of the Act:</w:t>
      </w:r>
    </w:p>
    <w:p>
      <w:pPr>
        <w:pStyle w:val="Normal"/>
        <w:bidi w:val="0"/>
        <w:spacing w:before="0" w:after="0"/>
        <w:jc w:val="left"/>
        <w:rPr>
          <w:sz w:val="4"/>
          <w:szCs w:val="4"/>
        </w:rPr>
      </w:pPr>
      <w:r>
        <w:rPr>
          <w:sz w:val="4"/>
          <w:szCs w:val="4"/>
        </w:rPr>
      </w:r>
      <w:bookmarkStart w:id="17" w:name="Tc_Ivrlnf5PGEG-SS7TZJMEMA_1_4"/>
      <w:bookmarkStart w:id="18" w:name="Tc_5hXfia-W2kOUZY8QLi3rpg_1_2"/>
      <w:bookmarkStart w:id="19" w:name="Tc_HgQpPVfiVk-RwWgH_g8Ikw_1_0"/>
      <w:bookmarkStart w:id="20" w:name="_027e288f_b465_4a48_8c11_898b20a029e8"/>
      <w:bookmarkStart w:id="21" w:name="Tc_Ivrlnf5PGEG-SS7TZJMEMA_1_4"/>
      <w:bookmarkStart w:id="22" w:name="Tc_5hXfia-W2kOUZY8QLi3rpg_1_2"/>
      <w:bookmarkStart w:id="23" w:name="Tc_HgQpPVfiVk-RwWgH_g8Ikw_1_0"/>
      <w:bookmarkStart w:id="24" w:name="_027e288f_b465_4a48_8c11_898b20a029e8"/>
      <w:bookmarkEnd w:id="21"/>
      <w:bookmarkEnd w:id="22"/>
      <w:bookmarkEnd w:id="23"/>
      <w:bookmarkEnd w:id="24"/>
    </w:p>
    <w:tbl>
      <w:tblPr>
        <w:tblW w:w="7570" w:type="dxa"/>
        <w:jc w:val="left"/>
        <w:tblInd w:w="0" w:type="dxa"/>
        <w:tblLayout w:type="fixed"/>
        <w:tblCellMar>
          <w:top w:w="0" w:type="dxa"/>
          <w:left w:w="0" w:type="dxa"/>
          <w:bottom w:w="0" w:type="dxa"/>
          <w:right w:w="0" w:type="dxa"/>
        </w:tblCellMar>
      </w:tblPr>
      <w:tblGrid>
        <w:gridCol w:w="3136"/>
        <w:gridCol w:w="326"/>
        <w:gridCol w:w="1081"/>
        <w:gridCol w:w="326"/>
        <w:gridCol w:w="2701"/>
      </w:tblGrid>
      <w:tr>
        <w:trPr/>
        <w:tc>
          <w:tcPr>
            <w:tcW w:w="3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vAlign w:val="center"/>
          </w:tcPr>
          <w:p>
            <w:pPr>
              <w:pStyle w:val="TableContents"/>
              <w:bidi w:val="0"/>
              <w:spacing w:before="0" w:after="0"/>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26" w:type="dxa"/>
            <w:tcBorders/>
            <w:vAlign w:val="center"/>
          </w:tcPr>
          <w:p>
            <w:pPr>
              <w:pStyle w:val="TableContents"/>
              <w:bidi w:val="0"/>
              <w:spacing w:before="0" w:after="0"/>
              <w:ind w:left="0" w:right="0" w:hanging="0"/>
              <w:jc w:val="center"/>
              <w:rPr/>
            </w:pPr>
            <w:r>
              <w:rPr/>
              <w:t>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31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 Common Stock, $0.001 par value per share</w:t>
            </w:r>
          </w:p>
        </w:tc>
        <w:tc>
          <w:tcPr>
            <w:tcW w:w="326" w:type="dxa"/>
            <w:tcBorders/>
            <w:vAlign w:val="center"/>
          </w:tcPr>
          <w:p>
            <w:pPr>
              <w:pStyle w:val="TableContents"/>
              <w:bidi w:val="0"/>
              <w:spacing w:before="0" w:after="240"/>
              <w:ind w:left="0" w:right="0" w:hanging="0"/>
              <w:jc w:val="center"/>
              <w:rPr/>
            </w:pPr>
            <w:r>
              <w:rPr/>
              <w:t>​</w:t>
            </w:r>
          </w:p>
        </w:tc>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HSDT</w:t>
            </w:r>
          </w:p>
        </w:tc>
        <w:tc>
          <w:tcPr>
            <w:tcW w:w="326" w:type="dxa"/>
            <w:tcBorders/>
            <w:vAlign w:val="center"/>
          </w:tcPr>
          <w:p>
            <w:pPr>
              <w:pStyle w:val="TableContents"/>
              <w:bidi w:val="0"/>
              <w:spacing w:before="0" w:after="240"/>
              <w:ind w:left="0" w:right="0" w:hanging="0"/>
              <w:jc w:val="center"/>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12(g) of the Act: None</w:t>
      </w:r>
    </w:p>
    <w:p>
      <w:pPr>
        <w:pStyle w:val="TextBody"/>
        <w:bidi w:val="0"/>
        <w:spacing w:before="0" w:after="240"/>
        <w:ind w:left="0" w:right="0" w:hanging="0"/>
        <w:jc w:val="center"/>
        <w:rPr/>
      </w:pPr>
      <w:r>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15(d) of the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651" w:type="dxa"/>
        <w:jc w:val="left"/>
        <w:tblInd w:w="0" w:type="dxa"/>
        <w:tblLayout w:type="fixed"/>
        <w:tblCellMar>
          <w:top w:w="0" w:type="dxa"/>
          <w:left w:w="0" w:type="dxa"/>
          <w:bottom w:w="0" w:type="dxa"/>
          <w:right w:w="0" w:type="dxa"/>
        </w:tblCellMar>
      </w:tblPr>
      <w:tblGrid>
        <w:gridCol w:w="1621"/>
        <w:gridCol w:w="109"/>
        <w:gridCol w:w="1921"/>
      </w:tblGrid>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109" w:type="dxa"/>
            <w:tcBorders/>
            <w:vAlign w:val="center"/>
          </w:tcPr>
          <w:p>
            <w:pPr>
              <w:pStyle w:val="TableContents"/>
              <w:bidi w:val="0"/>
              <w:spacing w:before="0" w:after="24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   ☐</w:t>
            </w:r>
          </w:p>
        </w:tc>
      </w:tr>
      <w:tr>
        <w:trPr/>
        <w:tc>
          <w:tcPr>
            <w:tcW w:w="162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40"/>
              <w:ind w:left="0" w:right="0" w:hanging="0"/>
              <w:jc w:val="left"/>
              <w:rPr/>
            </w:pPr>
            <w:r>
              <w:rPr/>
              <w:t>​</w:t>
            </w:r>
          </w:p>
        </w:tc>
        <w:tc>
          <w:tcPr>
            <w:tcW w:w="1921" w:type="dxa"/>
            <w:tcBorders/>
            <w:vAlign w:val="center"/>
          </w:tcPr>
          <w:p>
            <w:pPr>
              <w:pStyle w:val="TableContents"/>
              <w:bidi w:val="0"/>
              <w:spacing w:before="0" w:after="24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Non-accelerated filer</w:t>
            </w:r>
            <w:r>
              <w:rPr>
                <w:rFonts w:ascii="Times New Roman;Times;serif" w:hAnsi="Times New Roman;Times;serif"/>
                <w:sz w:val="20"/>
              </w:rPr>
              <w:t xml:space="preserve">   ☒</w:t>
            </w:r>
          </w:p>
        </w:tc>
        <w:tc>
          <w:tcPr>
            <w:tcW w:w="109" w:type="dxa"/>
            <w:tcBorders/>
            <w:vAlign w:val="center"/>
          </w:tcPr>
          <w:p>
            <w:pPr>
              <w:pStyle w:val="TableContents"/>
              <w:bidi w:val="0"/>
              <w:spacing w:before="0" w:after="24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r>
      <w:tr>
        <w:trPr/>
        <w:tc>
          <w:tcPr>
            <w:tcW w:w="1621"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1921" w:type="dxa"/>
            <w:tcBorders/>
            <w:vAlign w:val="center"/>
          </w:tcPr>
          <w:p>
            <w:pPr>
              <w:pStyle w:val="TableContents"/>
              <w:bidi w:val="0"/>
              <w:spacing w:before="0" w:after="240"/>
              <w:ind w:left="0" w:right="0" w:hanging="0"/>
              <w:jc w:val="left"/>
              <w:rPr/>
            </w:pPr>
            <w:r>
              <w:rPr/>
              <w:t>​</w:t>
            </w:r>
          </w:p>
        </w:tc>
      </w:tr>
      <w:tr>
        <w:trPr/>
        <w:tc>
          <w:tcPr>
            <w:tcW w:w="1621"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Act). Yes </w:t>
      </w:r>
      <w:r>
        <w:rPr>
          <w:rFonts w:ascii="Times New Roman;Times;serif" w:hAnsi="Times New Roman;Times;serif"/>
          <w:sz w:val="20"/>
        </w:rPr>
        <w:t xml:space="preserve">☐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The aggregate market value of the common equity held by non-affiliates of the registrant on June 30, 2023, based on the closing price on that date of $9.58 per share, was approximately $5,259,746. As of March 21, 2024, there were 887,295 shares of the registrant’s Class A common stock outstanding.</w:t>
      </w:r>
    </w:p>
    <w:p>
      <w:pPr>
        <w:pStyle w:val="TextBody"/>
        <w:bidi w:val="0"/>
        <w:spacing w:before="0" w:after="24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2"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7790" cy="175260"/>
                      <wp:effectExtent l="0" t="0" r="0" b="0"/>
                      <wp:wrapNone/>
                      <wp:docPr id="4" name="Frame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54" w:type="dxa"/>
            <w:tcBorders/>
            <w:vAlign w:val="center"/>
          </w:tcPr>
          <w:p>
            <w:pPr>
              <w:pStyle w:val="TableContents"/>
              <w:bidi w:val="0"/>
              <w:spacing w:before="0" w:after="0"/>
              <w:ind w:left="0" w:right="0" w:hanging="0"/>
              <w:jc w:val="right"/>
              <w:rPr>
                <w:shd w:fill="FFFF00" w:val="clear"/>
              </w:rPr>
            </w:pPr>
            <w:r>
              <w:rPr>
                <w:shd w:fill="FFFF00" w:val="clea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_b0d993f3_2e79_4766_8da6_97548d8a4a23"/>
      <w:bookmarkStart w:id="26" w:name="TOC"/>
      <w:bookmarkEnd w:id="25"/>
      <w:bookmarkEnd w:id="26"/>
      <w:r>
        <w:rPr>
          <w:rFonts w:ascii="Times New Roman;Times;serif" w:hAnsi="Times New Roman;Times;serif"/>
          <w:b/>
          <w:sz w:val="20"/>
        </w:rPr>
        <w:t xml:space="preserve">TABLE OF CONTENTS </w:t>
      </w:r>
    </w:p>
    <w:tbl>
      <w:tblPr>
        <w:tblW w:w="10205" w:type="dxa"/>
        <w:jc w:val="left"/>
        <w:tblInd w:w="0" w:type="dxa"/>
        <w:tblLayout w:type="fixed"/>
        <w:tblCellMar>
          <w:top w:w="0" w:type="dxa"/>
          <w:left w:w="0" w:type="dxa"/>
          <w:bottom w:w="0" w:type="dxa"/>
          <w:right w:w="0" w:type="dxa"/>
        </w:tblCellMar>
      </w:tblPr>
      <w:tblGrid>
        <w:gridCol w:w="803"/>
        <w:gridCol w:w="326"/>
        <w:gridCol w:w="8238"/>
        <w:gridCol w:w="326"/>
        <w:gridCol w:w="512"/>
      </w:tblGrid>
      <w:tr>
        <w:trPr/>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09905" cy="175260"/>
                      <wp:effectExtent l="0" t="0" r="0" b="0"/>
                      <wp:wrapNone/>
                      <wp:docPr id="5" name="Frame4"/>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231130" cy="175260"/>
                      <wp:effectExtent l="0" t="0" r="0" b="0"/>
                      <wp:wrapNone/>
                      <wp:docPr id="6" name="Frame5"/>
                      <a:graphic xmlns:a="http://schemas.openxmlformats.org/drawingml/2006/main">
                        <a:graphicData uri="http://schemas.microsoft.com/office/word/2010/wordprocessingShape">
                          <wps:wsp>
                            <wps:cNvSpPr txBox="1"/>
                            <wps:spPr>
                              <a:xfrm>
                                <a:off x="0" y="0"/>
                                <a:ext cx="523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25120" cy="175260"/>
                      <wp:effectExtent l="0" t="0" r="0" b="0"/>
                      <wp:wrapNone/>
                      <wp:docPr id="7" name="Frame6"/>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Item</w:t>
            </w:r>
          </w:p>
        </w:tc>
        <w:tc>
          <w:tcPr>
            <w:tcW w:w="326" w:type="dxa"/>
            <w:tcBorders/>
            <w:vAlign w:val="center"/>
          </w:tcPr>
          <w:p>
            <w:pPr>
              <w:pStyle w:val="TableContents"/>
              <w:bidi w:val="0"/>
              <w:spacing w:before="0" w:after="0"/>
              <w:ind w:left="0" w:right="0" w:hanging="0"/>
              <w:jc w:val="left"/>
              <w:rPr/>
            </w:pPr>
            <w:r>
              <w:rPr/>
              <w:t>    </w:t>
            </w:r>
          </w:p>
        </w:tc>
        <w:tc>
          <w:tcPr>
            <w:tcW w:w="82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0"/>
              <w:ind w:left="0" w:right="0" w:hanging="0"/>
              <w:jc w:val="left"/>
              <w:rPr/>
            </w:pPr>
            <w:r>
              <w:rPr/>
              <w:t>    </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0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center"/>
              <w:rPr/>
            </w:pPr>
            <w:hyperlink w:anchor="PARTI_354885">
              <w:r>
                <w:rPr>
                  <w:rStyle w:val="InternetLink"/>
                  <w:rFonts w:ascii="Times New Roman;Times;serif" w:hAnsi="Times New Roman;Times;serif"/>
                  <w:b/>
                  <w:i w:val="false"/>
                  <w:caps w:val="false"/>
                  <w:smallCaps w:val="false"/>
                  <w:sz w:val="20"/>
                </w:rPr>
                <w:t>PART I</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3" w:type="dxa"/>
            <w:tcBorders/>
            <w:vAlign w:val="center"/>
          </w:tcPr>
          <w:p>
            <w:pPr>
              <w:pStyle w:val="TableContents"/>
              <w:bidi w:val="0"/>
              <w:spacing w:before="0" w:after="0"/>
              <w:ind w:left="0" w:right="0" w:hanging="0"/>
              <w:jc w:val="left"/>
              <w:rPr/>
            </w:pPr>
            <w:hyperlink w:anchor="ITEM1BUSINESS_577674">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BUSINESS_577674">
              <w:r>
                <w:rPr>
                  <w:rStyle w:val="InternetLink"/>
                  <w:rFonts w:ascii="Times New Roman;Times;serif" w:hAnsi="Times New Roman;Times;serif"/>
                  <w:b w:val="false"/>
                  <w:i w:val="false"/>
                  <w:caps w:val="false"/>
                  <w:smallCaps w:val="false"/>
                  <w:sz w:val="20"/>
                </w:rPr>
                <w:t>BUSINESS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03" w:type="dxa"/>
            <w:tcBorders/>
            <w:vAlign w:val="center"/>
          </w:tcPr>
          <w:p>
            <w:pPr>
              <w:pStyle w:val="TableContents"/>
              <w:bidi w:val="0"/>
              <w:spacing w:before="0" w:after="0"/>
              <w:ind w:left="0" w:right="0" w:hanging="0"/>
              <w:jc w:val="left"/>
              <w:rPr/>
            </w:pPr>
            <w:hyperlink w:anchor="ITEM1ARISKFACTORS_364857">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ARISKFACTORS_364857">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03" w:type="dxa"/>
            <w:tcBorders/>
            <w:vAlign w:val="center"/>
          </w:tcPr>
          <w:p>
            <w:pPr>
              <w:pStyle w:val="TableContents"/>
              <w:bidi w:val="0"/>
              <w:spacing w:before="0" w:after="0"/>
              <w:ind w:left="0" w:right="0" w:hanging="0"/>
              <w:jc w:val="left"/>
              <w:rPr/>
            </w:pPr>
            <w:hyperlink w:anchor="ITEM1BUNRESOLVEDSTAFFCOMMENTS_880977">
              <w:r>
                <w:rPr>
                  <w:rStyle w:val="InternetLink"/>
                  <w:rFonts w:ascii="Times New Roman;Times;serif" w:hAnsi="Times New Roman;Times;serif"/>
                  <w:b w:val="false"/>
                  <w:i w:val="false"/>
                  <w:caps w:val="false"/>
                  <w:smallCaps w:val="false"/>
                  <w:sz w:val="20"/>
                </w:rPr>
                <w:t>ITEM 1B.</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BUNRESOLVEDSTAFFCOMMENTS_880977">
              <w:r>
                <w:rPr>
                  <w:rStyle w:val="InternetLink"/>
                  <w:rFonts w:ascii="Times New Roman;Times;serif" w:hAnsi="Times New Roman;Times;serif"/>
                  <w:b w:val="false"/>
                  <w:i w:val="false"/>
                  <w:caps w:val="false"/>
                  <w:smallCaps w:val="false"/>
                  <w:sz w:val="20"/>
                </w:rPr>
                <w:t>UNRESOLVED STAFF COMMENTS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03"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CYBERSECURITY</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03" w:type="dxa"/>
            <w:tcBorders/>
            <w:vAlign w:val="center"/>
          </w:tcPr>
          <w:p>
            <w:pPr>
              <w:pStyle w:val="TableContents"/>
              <w:bidi w:val="0"/>
              <w:spacing w:before="0" w:after="0"/>
              <w:ind w:left="0" w:right="0" w:hanging="0"/>
              <w:jc w:val="left"/>
              <w:rPr/>
            </w:pPr>
            <w:hyperlink w:anchor="ITEM2PROPERTIES_630423">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2PROPERTIES_630423">
              <w:r>
                <w:rPr>
                  <w:rStyle w:val="InternetLink"/>
                  <w:rFonts w:ascii="Times New Roman;Times;serif" w:hAnsi="Times New Roman;Times;serif"/>
                  <w:b w:val="false"/>
                  <w:i w:val="false"/>
                  <w:caps w:val="false"/>
                  <w:smallCaps w:val="false"/>
                  <w:sz w:val="20"/>
                </w:rPr>
                <w:t>PROPERTIES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03" w:type="dxa"/>
            <w:tcBorders/>
            <w:vAlign w:val="center"/>
          </w:tcPr>
          <w:p>
            <w:pPr>
              <w:pStyle w:val="TableContents"/>
              <w:bidi w:val="0"/>
              <w:spacing w:before="0" w:after="0"/>
              <w:ind w:left="0" w:right="0" w:hanging="0"/>
              <w:jc w:val="left"/>
              <w:rPr/>
            </w:pPr>
            <w:hyperlink w:anchor="ITEM3LEGALPROCEEDINGS_49215">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3LEGALPROCEEDINGS_49215">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03" w:type="dxa"/>
            <w:tcBorders/>
            <w:vAlign w:val="center"/>
          </w:tcPr>
          <w:p>
            <w:pPr>
              <w:pStyle w:val="TableContents"/>
              <w:bidi w:val="0"/>
              <w:spacing w:before="0" w:after="0"/>
              <w:ind w:left="0" w:right="0" w:hanging="0"/>
              <w:jc w:val="left"/>
              <w:rPr/>
            </w:pPr>
            <w:hyperlink w:anchor="ITEM4MINESAFETYDISCLOSURES_809931">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4MINESAFETYDISCLOSURES_809931">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center"/>
              <w:rPr/>
            </w:pPr>
            <w:hyperlink w:anchor="PARTII_466427">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3"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03" w:type="dxa"/>
            <w:tcBorders/>
            <w:vAlign w:val="center"/>
          </w:tcPr>
          <w:p>
            <w:pPr>
              <w:pStyle w:val="TableContents"/>
              <w:bidi w:val="0"/>
              <w:spacing w:before="0" w:after="0"/>
              <w:ind w:left="0" w:right="0" w:hanging="0"/>
              <w:jc w:val="left"/>
              <w:rPr/>
            </w:pPr>
            <w:hyperlink w:anchor="ITEM6Reserved_138969">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6Reserved_138969">
              <w:r>
                <w:rPr>
                  <w:rStyle w:val="InternetLink"/>
                  <w:rFonts w:ascii="Times New Roman;Times;serif" w:hAnsi="Times New Roman;Times;serif"/>
                  <w:b w:val="false"/>
                  <w:i w:val="false"/>
                  <w:caps w:val="false"/>
                  <w:smallCaps w:val="false"/>
                  <w:sz w:val="20"/>
                </w:rPr>
                <w:t>[RESERVED]</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03"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03"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03"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03"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03" w:type="dxa"/>
            <w:tcBorders/>
            <w:vAlign w:val="center"/>
          </w:tcPr>
          <w:p>
            <w:pPr>
              <w:pStyle w:val="TableContents"/>
              <w:bidi w:val="0"/>
              <w:spacing w:before="0" w:after="0"/>
              <w:ind w:left="0" w:right="0" w:hanging="0"/>
              <w:jc w:val="left"/>
              <w:rPr/>
            </w:pPr>
            <w:hyperlink w:anchor="ITEM9ACONTROLSANDPROCEDURES_450043">
              <w:r>
                <w:rPr>
                  <w:rStyle w:val="InternetLink"/>
                  <w:rFonts w:ascii="Times New Roman;Times;serif" w:hAnsi="Times New Roman;Times;serif"/>
                  <w:b w:val="false"/>
                  <w:i w:val="false"/>
                  <w:caps w:val="false"/>
                  <w:smallCaps w:val="false"/>
                  <w:sz w:val="20"/>
                </w:rPr>
                <w:t>ITEM 9A.</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9ACONTROLSANDPROCEDURES_450043">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03" w:type="dxa"/>
            <w:tcBorders/>
            <w:vAlign w:val="center"/>
          </w:tcPr>
          <w:p>
            <w:pPr>
              <w:pStyle w:val="TableContents"/>
              <w:bidi w:val="0"/>
              <w:spacing w:before="0" w:after="0"/>
              <w:ind w:left="0" w:right="0" w:hanging="0"/>
              <w:jc w:val="left"/>
              <w:rPr/>
            </w:pPr>
            <w:hyperlink w:anchor="ITEM9BOTHERINFORMATION_495064">
              <w:r>
                <w:rPr>
                  <w:rStyle w:val="InternetLink"/>
                  <w:rFonts w:ascii="Times New Roman;Times;serif" w:hAnsi="Times New Roman;Times;serif"/>
                  <w:b w:val="false"/>
                  <w:i w:val="false"/>
                  <w:caps w:val="false"/>
                  <w:smallCaps w:val="false"/>
                  <w:sz w:val="20"/>
                </w:rPr>
                <w:t>ITEM 9B.</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9BOTHERINFORMATION_495064">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03"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center"/>
              <w:rPr/>
            </w:pPr>
            <w:hyperlink w:anchor="PARTIII_530403">
              <w:r>
                <w:rPr>
                  <w:rStyle w:val="InternetLink"/>
                  <w:rFonts w:ascii="Times New Roman;Times;serif" w:hAnsi="Times New Roman;Times;serif"/>
                  <w:b/>
                  <w:i w:val="false"/>
                  <w:caps w:val="false"/>
                  <w:smallCaps w:val="false"/>
                  <w:sz w:val="20"/>
                </w:rPr>
                <w:t>PART III</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3"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803" w:type="dxa"/>
            <w:tcBorders/>
            <w:vAlign w:val="center"/>
          </w:tcPr>
          <w:p>
            <w:pPr>
              <w:pStyle w:val="TableContents"/>
              <w:bidi w:val="0"/>
              <w:spacing w:before="0" w:after="0"/>
              <w:ind w:left="0" w:right="0" w:hanging="0"/>
              <w:jc w:val="left"/>
              <w:rPr/>
            </w:pPr>
            <w:hyperlink w:anchor="ITEM11EXECUTIVECOMPENSATION_157841">
              <w:r>
                <w:rPr>
                  <w:rStyle w:val="InternetLink"/>
                  <w:rFonts w:ascii="Times New Roman;Times;serif" w:hAnsi="Times New Roman;Times;serif"/>
                  <w:b w:val="false"/>
                  <w:i w:val="false"/>
                  <w:caps w:val="false"/>
                  <w:smallCaps w:val="false"/>
                  <w:sz w:val="20"/>
                </w:rPr>
                <w:t>ITEM 11.</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1EXECUTIVECOMPENSATION_157841">
              <w:r>
                <w:rPr>
                  <w:rStyle w:val="InternetLink"/>
                  <w:rFonts w:ascii="Times New Roman;Times;serif" w:hAnsi="Times New Roman;Times;serif"/>
                  <w:b w:val="false"/>
                  <w:i w:val="false"/>
                  <w:caps w:val="false"/>
                  <w:smallCaps w:val="false"/>
                  <w:sz w:val="20"/>
                </w:rPr>
                <w:t>EXECUTIVE COMPENSATION</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803"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803"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03"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center"/>
              <w:rPr/>
            </w:pPr>
            <w:hyperlink w:anchor="PARTIV_96471">
              <w:r>
                <w:rPr>
                  <w:rStyle w:val="InternetLink"/>
                  <w:rFonts w:ascii="Times New Roman;Times;serif" w:hAnsi="Times New Roman;Times;serif"/>
                  <w:b/>
                  <w:i w:val="false"/>
                  <w:caps w:val="false"/>
                  <w:smallCaps w:val="false"/>
                  <w:sz w:val="20"/>
                </w:rPr>
                <w:t>PART IV</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3"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AND FINANCIAL STATEMENT SCHEDULES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03" w:type="dxa"/>
            <w:tcBorders/>
            <w:vAlign w:val="center"/>
          </w:tcPr>
          <w:p>
            <w:pPr>
              <w:pStyle w:val="TableContents"/>
              <w:bidi w:val="0"/>
              <w:spacing w:before="0" w:after="0"/>
              <w:ind w:left="0" w:right="0" w:hanging="0"/>
              <w:jc w:val="left"/>
              <w:rPr/>
            </w:pPr>
            <w:hyperlink w:anchor="ITEM16FORM10KSUMMARY_758874">
              <w:r>
                <w:rPr>
                  <w:rStyle w:val="InternetLink"/>
                  <w:rFonts w:ascii="Times New Roman;Times;serif" w:hAnsi="Times New Roman;Times;serif"/>
                  <w:b w:val="false"/>
                  <w:i w:val="false"/>
                  <w:caps w:val="false"/>
                  <w:smallCaps w:val="false"/>
                  <w:sz w:val="20"/>
                </w:rPr>
                <w:t>ITEM 16.</w:t>
              </w:r>
            </w:hyperlink>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hyperlink w:anchor="ITEM16FORM10KSUMMARY_758874">
              <w:r>
                <w:rPr>
                  <w:rStyle w:val="InternetLink"/>
                  <w:rFonts w:ascii="Times New Roman;Times;serif" w:hAnsi="Times New Roman;Times;serif"/>
                  <w:b w:val="false"/>
                  <w:i w:val="false"/>
                  <w:caps w:val="false"/>
                  <w:smallCaps w:val="false"/>
                  <w:sz w:val="20"/>
                </w:rPr>
                <w:t>FORM 10-K SUMMARY</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8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pPr>
            <w:r>
              <w:rPr/>
              <w:t>​</w:t>
            </w:r>
          </w:p>
        </w:tc>
      </w:tr>
      <w:tr>
        <w:trPr/>
        <w:tc>
          <w:tcPr>
            <w:tcW w:w="9367" w:type="dxa"/>
            <w:gridSpan w:val="3"/>
            <w:tcBorders/>
            <w:vAlign w:val="center"/>
          </w:tcPr>
          <w:p>
            <w:pPr>
              <w:pStyle w:val="TableContents"/>
              <w:bidi w:val="0"/>
              <w:spacing w:before="0" w:after="0"/>
              <w:ind w:left="0" w:right="0" w:hanging="0"/>
              <w:jc w:val="left"/>
              <w:rPr/>
            </w:pPr>
            <w:hyperlink w:anchor="SIGNATURES_563111">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7" w:name="_9df95d58_e1b1_4004_be73_19a0bbdbc9bc"/>
      <w:bookmarkEnd w:id="27"/>
      <w:r>
        <w:rPr>
          <w:rFonts w:ascii="Times New Roman;Times;serif" w:hAnsi="Times New Roman;Times;serif"/>
          <w:sz w:val="20"/>
        </w:rPr>
        <w:t>In this Annual Report on Form 10-K, (“Form 10-K”) unless otherwise specified, references to “we,” “us,” “our,” “Helius” or “the Company” mean Helius Medical Technologies, Inc. and its wholly owned subsidiaries, Helius Medical, Inc, (“HMI”), Helius Medical Technologies (Canada), Inc., (“HMC”), Helius NeuroRehab, Inc., and Helius Canada Acquisition Ltd., unless the context otherwise requires. Our financial statements are prepared in accordance with accounting principles generally accepted in the United States (“U.S. GAAP”).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Annual Report on Form 10-K includes certain statements that may constitute “forward-looking statements.” All statements contained in this Form 10-K, other than statements of historical facts, that address events or developments that the Company expects to occur, are forward-looking statements. These statements are based on management’s expectations at the time the statements are made and are subject to risks, uncertainty, and changes in circumstances, which may cause actual results, performance, financial condition or achievements to differ materially from anticipated results, performance, financial condition or achievements. All statements contained herein that are not clearly historical in nature are forward-looking and the words “anticipate,” “believe,” “calls for,” “could” “depends,” “estimate,” “expect,” “extrapolate,” “foresee,” “goal,” “intend,” “likely,” “might,” “plan,” “project,” “propose,” “potential,” “target,” “think,” and similar expressions, or that events or conditions “may,” “should occur” “will,” “would,” or any similar expressions are generally intended to identify 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forward-looking statements in this Form 10-K include but are not limited to statements relating to: the Company’s future growth and operational progress, including manufacturing activities for the PoNS device, receipt of prescriptions and progress of commercialization of the PoNS device in the U.S., our ability to receive reimbursement coverage under Medicare, Medicaid or under other insurance plans, clinical development plans, product development activities, plans for U.S. Food and Drug Administration, or FDA, filings and their subsequent approvals, other foreign or domestic regulatory filings, the safety and effectiveness of our product, our market awareness, our ability to compete effectively, the ability and limitation of our manufacturing sources, our distribution network, the adequacy of our intellectual property protection, our future patent approvals, our future expenses and cash flow, our ability to become profitable, our future financing arrangements, our accountants’ future perspective including any going concerns, any future stock price, and our ability to build commercial infrastructure.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Such forward-looking statements are necessarily based upon a number of estimates and assumptions that, while considered reasonable by Helius, are inherently subject to significant business, economic, competitive political and social uncertainties and contingencies. The factors and assumptions used by management of the Company to develop such forward-looking statements include, but are not limited to, uncertainties associated with the Company’s capital requirements to achieve its business objectives, availability of funds, the ability to find additional sources of funding, manufacturing, labor shortage and supply chain risks, including risks related to manufacturing delays, the Company’s ability to obtain national Medicare insurance coverage and to obtain a reimbursement code, the Company’s ability to continue to build internal commercial infrastructure, secure state distribution licenses, market awareness of the PoNS device, future clinical trials and the clinical development process, the product development process and FDA regulatory submission review and approval process, other development activities, ongoing government regulation and other factors included in the section entitled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should refer to the “Risk Factors” section of this Form 10-K for a discussion of important factors that may cause our actual results to differ materially from those expressed or implied by our forward-looking statements. As a result of these factors, we cannot assure you that the forward-looking statements in this Form 10-K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forward-looking statements speak only as of the date of this Form 10-K. Except as required by law, we assume no obligation to update or revise these forward-looking statements for any reason, even if new information becomes available in the future. You should, however, review the factors and risks and other information we describe in the reports we will file from time to time with the Securities and Exchange Commission (the “SEC”) after the date of this Form 10-K.</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_bd768b4f_0b29_49f2_8d31_e3b08744e1ed"/>
      <w:bookmarkEnd w:id="28"/>
      <w:r>
        <w:rPr>
          <w:rFonts w:ascii="Times New Roman;Times;serif" w:hAnsi="Times New Roman;Times;serif"/>
          <w:b/>
          <w:sz w:val="20"/>
        </w:rPr>
        <w:t>SUMMARY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business is subject to a number of risks, as fully described in “Item 1A. Risk Factors” in this Annual Report. The principal factors and uncertainties include, among others:</w:t>
      </w:r>
    </w:p>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losses and may not achieve or sustain profitability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macroeconomic conditions remain volatile and uncertain due in part to geopolitical conflicts, banking and financial markets disruptions, supply chain disruptions, labor shortages, increased inflation and high interest rates, and any adverse impacts of such conditions could significantly harm our business or negatively affect our ability to obtain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financing to carry out our plan of operations, and failure to obtain such financing may cause our business to fail;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only have one product, the PoNS device, which is authorized for commercial distribution in Canada, Australia, and in the U.S. for treatment of MS, and we have not obtained authorization and/or certification to distribute the PoNS device commercially in Europe or in the U.S. for other indications and may never obtain such authorizations and/or certifications;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substantial delays in planned clinical trials, and planned clinical trials may fail to demonstrate the safety and efficacy of the PoNS device to the satisfaction of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Generation of revenue related to the PoNS technology is dependent on the PoNS Therapy</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being prescribed by physicians in the U.S. and our ability to train physical therapists in the supervision of the use of the PoNS Therapy;</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awareness of the PoNS device is limited, and the neuromodulation market is new and uncertain;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third-party scientists and research institutions, in part, for research and development and on third parties for the manufacture and distribution of our product;</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gain access to our technology if our intellectual property protection is insufficient;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various litigation claims and legal proceedings, including intellectual property litigation, which may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Commercialization of our product outside of Canada, Australia, and the U.S. for indications other than MS is dependent on obtaining market authorization and/or certification from the FDA and foreign regulatory authorities, which will require significant time, research, development, and clinical study expenditures and ultimately may not be successful;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secure contracts with workers’ compensation and third-party administrators or rehabilitation clinics could have a negative impact on our sales and would have a material adverse effect on our business, financial condition and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a Healthcare Common Procedure Coding System code and benefit category determination so that the PoNS device may be more easily covered by Medicare could have a negative impact on our intended sales and would have a material adverse effect on our business, financial condition and operating results;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healthcare laws, we could face substantial penalties and financial exposure;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ongoing government scrutiny and regulation in connection with the development of product candidates and following marketing authorization and/or certification;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commercialization, a product recall or the discovery of serious safety issues with our products could have a significant adverse impact on us; </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controls and security measures may not be successful in avoiding cybersecurity incidents;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reliant on third-party, single-sourced contract manufacturing, exposing us to risks that could delay our sales or result in higher costs or lost product revenues including additional related risks resulting from the transition of our manufacturer.</w:t>
            </w:r>
          </w:p>
        </w:tc>
      </w:tr>
    </w:tbl>
    <w:p>
      <w:pPr>
        <w:pStyle w:val="TextBody"/>
        <w:bidi w:val="0"/>
        <w:spacing w:before="0" w:after="6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_242ed80c_99b9_43db_86f5_f4807bfee446"/>
      <w:bookmarkEnd w:id="29"/>
      <w:r>
        <w:rPr>
          <w:rFonts w:ascii="Times New Roman;Times;serif" w:hAnsi="Times New Roman;Times;serif"/>
          <w:b/>
          <w:sz w:val="20"/>
        </w:rPr>
        <w:t>INDUSTRY AND MARKET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this Form 10-K, we reference information, statistics and estimates regarding the medical devices and healthcare industries. We have obtained this information from various third-party sources, including industry and general publications, reports by market research firms and other sources. This information involves a number of assumptions and limitations, and we have not independently verified the accuracy or completeness of this information. Some data and other information are also based on the good faith estimates of management, which are derived from our research, review of internal surveys, general information discussed in the industry, and third-party sources. We believe that these external sources and estimates are reliable but have not independently verified them. The industries in which we operate are subject to a high degree of uncertainty, change, and risk due to a variety of factors, including those described in “Item 1A. Risk Factors.” These and other factors could cause results to differ materially from those expressed in this Form 10-K and other publications.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0" w:name="PARTI_354885"/>
      <w:bookmarkStart w:id="31" w:name="_cd962c5a_aed8_4288_9ff4_2edf46ed4089"/>
      <w:bookmarkEnd w:id="30"/>
      <w:bookmarkEnd w:id="31"/>
      <w:r>
        <w:rPr>
          <w:rFonts w:ascii="Times New Roman;Times;serif" w:hAnsi="Times New Roman;Times;serif"/>
          <w:b/>
          <w:sz w:val="20"/>
        </w:rPr>
        <w:t>PART I</w:t>
      </w:r>
    </w:p>
    <w:p>
      <w:pPr>
        <w:pStyle w:val="Normal"/>
        <w:bidi w:val="0"/>
        <w:spacing w:before="0" w:after="0"/>
        <w:jc w:val="left"/>
        <w:rPr>
          <w:sz w:val="4"/>
          <w:szCs w:val="4"/>
        </w:rPr>
      </w:pPr>
      <w:r>
        <w:rPr>
          <w:sz w:val="4"/>
          <w:szCs w:val="4"/>
        </w:rPr>
      </w:r>
      <w:bookmarkStart w:id="32" w:name="ITEM1BUSINESS_577674"/>
      <w:bookmarkStart w:id="33" w:name="ITEM1BUSINESS_577674"/>
      <w:bookmarkEnd w:id="33"/>
    </w:p>
    <w:tbl>
      <w:tblPr>
        <w:tblW w:w="1922" w:type="dxa"/>
        <w:jc w:val="left"/>
        <w:tblInd w:w="0" w:type="dxa"/>
        <w:tblLayout w:type="fixed"/>
        <w:tblCellMar>
          <w:top w:w="0" w:type="dxa"/>
          <w:left w:w="0" w:type="dxa"/>
          <w:bottom w:w="0" w:type="dxa"/>
          <w:right w:w="0" w:type="dxa"/>
        </w:tblCellMar>
      </w:tblPr>
      <w:tblGrid>
        <w:gridCol w:w="841"/>
        <w:gridCol w:w="1081"/>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w:t>
            </w:r>
          </w:p>
        </w:tc>
        <w:tc>
          <w:tcPr>
            <w:tcW w:w="10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BUSINESS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neurotechnology company focused on neurological wellness. Our purpose is to develop, license or acquire non-implantable technologies targeted at reducing symptoms of neurological disease or trauma.</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 is integral to the overall PoNS solution and is the physical therapy applied by patients during use of the PoNS device. PoNS has marketing clearance in the U.S. for use in the U.S.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or mmTBI, and is to be used in conjunction with physical therapy; (ii) as a short term treatment (14 weeks) of gait deficit due to mild and moderate symptoms from MS and it is to be used in conjunction with physical therapy; and (iii) for use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PoNS Device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PoNS device is a non-implantable medical device comprised of a controller and a mouthpiece that are connected by a cord. The controller is worn around the neck and the mouthpiece sits on the tongue during treatment. PoNS Therapy utilizes the PoNS device in conjunction with supervised therapeutic exercise. The PoNS Therapy consists of condition specific exercises for movement control, including balance and gait training and breathing and awareness training, which are tailored to focus on the individual patient’s functional deficits. The PoNS Therapy is completed over a period of 14 weeks. During the first 2 weeks, the PoNS Therapy is mostly administered in a rehabilitation or physical therapy clinic by a PoNS trained therapist and, to a lesser extent, performed at home. The remaining 12 weeks are completed at home with weekly clinic visits to monitor rehabilitation progress, assess improvements and ensure the therapy intensity remains appropriate. When the device is on, the 143 gold-plated electrodes on the mouthpiece send mild electrical signals to the tongue. These impulses stimulate sensory nerves in the tongue that have direct pathways to the brain, through the brain stem. The combination of mild stimulation with supervised therapeutic exercise promotes neuromodulation and likely trigger neuroplastic effects, which potentially lead to functional improvements in balance and gait. During each clinic visit and at the end of the 14-week therapy, the clinic downloads and reviews the PoNS usage data from the device. This usage data in combination with the detail of the completed treatment assessments gives the clinician and the patient a unique and powerful method to assess treatment progress. The patient initiates their PoNS Therapy sessions with the PoNS device initially under the supervision of the clinicians, then through regular check-ins.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Clinical research has shown that translingual neurostimulation activates two major cranial nerves – the trigeminal nerve, and the facial nerve, which creates a flow of neural impulses that are delivered directly into the brain stem and cerebellum – the main control centers for multiple functions including sensory perception and movement. From the brain stem, these impulses travel throughout the brain and may activate or reactivate signaling pathways involved in human function. Researchers believe that supervised therapeutic exercise with neurostimulation can modulate neural activity and initiate adaptive changes in the brain that lead to restructuring and reorganization (neuroplasticity) processes in specific areas of the brain.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Design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PoNS device is ergonomically designed for patient comfort, is relatively light, contains a replaceable hygienic mouthpiece and a rechargeable battery with built-in technology to allow for tracking of the patient’s usage, including time and intensity of treatments. See Figure 1.</w:t>
      </w:r>
    </w:p>
    <w:p>
      <w:pPr>
        <w:pStyle w:val="TextBody"/>
        <w:bidi w:val="0"/>
        <w:spacing w:before="0" w:after="240"/>
        <w:ind w:left="0" w:right="0" w:hanging="0"/>
        <w:jc w:val="left"/>
        <w:rPr/>
      </w:pPr>
      <w:r>
        <w:rPr/>
        <w:drawing>
          <wp:inline distT="0" distB="0" distL="0" distR="0">
            <wp:extent cx="1666875" cy="16668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666875" cy="1666875"/>
                    </a:xfrm>
                    <a:prstGeom prst="rect">
                      <a:avLst/>
                    </a:prstGeom>
                  </pic:spPr>
                </pic:pic>
              </a:graphicData>
            </a:graphic>
          </wp:inline>
        </w:drawing>
      </w: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Figure 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Portable Neuromodulation Stimulator, PoNS device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mouthpiece of the PoNS device sits on the front third of the tongue and is held in place by the lips and closed mouth. See Figure 2.</w:t>
      </w:r>
    </w:p>
    <w:p>
      <w:pPr>
        <w:pStyle w:val="TextBody"/>
        <w:bidi w:val="0"/>
        <w:spacing w:before="0" w:after="240"/>
        <w:ind w:left="0" w:right="0" w:hanging="0"/>
        <w:jc w:val="left"/>
        <w:rPr/>
      </w:pPr>
      <w:r>
        <w:rPr/>
        <w:drawing>
          <wp:inline distT="0" distB="0" distL="0" distR="0">
            <wp:extent cx="1828800" cy="255206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828800" cy="2552065"/>
                    </a:xfrm>
                    <a:prstGeom prst="rect">
                      <a:avLst/>
                    </a:prstGeom>
                  </pic:spPr>
                </pic:pic>
              </a:graphicData>
            </a:graphic>
          </wp:inline>
        </w:drawing>
      </w:r>
      <w:r>
        <w:rPr/>
        <w:t> </w:t>
      </w:r>
      <w:r>
        <w:rPr/>
        <w:drawing>
          <wp:inline distT="0" distB="0" distL="0" distR="0">
            <wp:extent cx="1685925" cy="253301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685925" cy="253301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Figure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rechargeable lithium polymer battery with built-in charge safety circuitry provides power. While the voltage and pulse timing to each electrode are programmed into the device and cannot be altered, the user can adjust the stimulus intensity, which is achieved by adjusting the electrical pulse width. The sensation produced by the mouthpiece is similar to the feeling of drinking a carbonated beverage. The patented waveform is specifically designed to minimize the potential for tissue irritation.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MS and Current Available Treatments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MS is currently classified as an autoimmune disease of the central nervous system. The disease attacks the myelin, the protective covering of the nerve necessary for the transmission of nerve impulses through nerve fibers, causing inflammation and often damaging the myelin. Damage to the myelin is variable, depending on the course of the disease, which influences the type and severity of symptoms. MS is unpredictable and can cause symptoms such as extreme fatigue, lack of coordination, weakness, tingling, impaired sensation, vision problems, bladder problems, cognitive impairment and mood changes. Its effects can be physical and emotional with a substantial financial burden. Currently there is no cure and patients with MS experience a progressive decline in health over time. There are a variety of treatments available for MS, some of which are experimental, including pharmaceutical, dietary, and surgical, which may or may not be covered by government or private health 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Findings from a National MS Society study estimate that nearly 1 million people in the U.S. are living with MS of which approximately 25-30% are on Medicare and 93,000 people in Canada are living with MS. The National MS Society estimates that 2.9 million people live with MS globally. The U.S. and Canada have the highest rates of MS, with 337.9 to 362.6 cases per 100,000 in the U.S., and 291 cases per 100,000 in Canada. Given the nature of this neurodegenerative disease, these individuals and their caretakers are active in exploring treatment options that may resolve or delay the progression of symptoms. There is also a well-established advocacy framework.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Mobility disability and walking impairment are among the most debilitating consequences of MS with approximately 85% of individuals diagnosed with MS reporting gait impairment as a major limitation in their daily lives. Gait is one of the most important bodily functions for MS patients and gait parameters, such as walking speed and stride length, have been shown to be significant predictors of patient’s independence in daily activities. A survey of 436 patients found that 45% reported a mobility disability in the first month following diagnosis, with upwards of 90% of patients reporting a mobility disability within 10 years of their diagnosis. Additionally, 50-80% of MS patients suffer from balance and gait dysfunction and over 56% fall at least once within a three-month period. It has also been reported that unemployment rates in MS patients range from 24-80% with higher rates associated with decreased ambulation and mobility. The Centers for Disease Control, or CDC, reports that individuals with disabilities, like MS, that result in limited mobility are at greater risk for health problems including injury, mental health and depression, overweight and obesity, pain, pressure sores or ulcers and other issues.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 2016 economic analysis of MS found the total lifetime costs per person with MS to be $4.1 million, with average yearly healthcare costs ranging from $30 thousand to $100 thousand based on the severity of the disease, and averaging $65 thousand more in yearly healthcare costs than that of someone without MS. In 2019, the total economic burden attributed to MS in the U.S was $85.4 billion and the average annual cost of living with MS was $88.5 thousand.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Since the exact cause of MS is still unknown, there is no known prevention. Although there is no cure for MS yet, immunotherapy can provide disease-modifying effects, and other pharmacological and non-pharmacological treatments can manage symptoms. MS medications are designed to lessen the frequency of relapses and slow the progression of the disease, but none have been proven to halt progression of the disease. While there are several disease-modifying medications approved by the FDA to treat MS, only one drug approved by FDA and Heath Canada, Ampyra® (dalfampridine), which is indicated for the improvement </w:t>
      </w:r>
      <w:r>
        <w:rPr>
          <w:rFonts w:ascii="Times New Roman;Times;serif" w:hAnsi="Times New Roman;Times;serif"/>
          <w:color w:val="231F20"/>
          <w:sz w:val="20"/>
        </w:rPr>
        <w:t>of gait speed in conjunction with physical therapy in patients with MS, offers the closest, albeit limited only to speed, comparison to PoNS Therapy on improvement in gait.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TBI and Current Available Treatments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are an estimated 49.0 million people globally, with over 5.3 million in the U.S. and 760,000 in Canada, who have sustained a TBI. Every year there are 27.2 million newly diagnosed TBIs globally, of which 2.8 million and 165,000 occur in the U.S. and Canada, respectively. This condition often has a significant impact on one’s quality of life, negatively affecting independence, employability, productivity, mental health and participation in the community. Rehabilitation is often required following a TBI for resulting motor, cognitive and behavioral impairments. Approximately 80% of individuals who sustain a TBI report balance impairment. The current standard of care to address balance issues following a TBI is supervised therapeutic exercise. While supervised therapeutic exercise can help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promote balance recovery, individuals are often unable to return to their full function and are left living with a balance deficit.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development of the PoNS device, there were no cleared treatments that were clinically indicated to treat balance deficit. A few studies have suggested that supervised therapeutic exercise aimed at improving balance and gait may be mildly effective for rehabilitation in the mmTBI population. Given the small number of published studies, the small number of patients enrolled in the studies of which we are aware, the varying range of interventional protocols employed in such studies and the lower levels of study design, it is difficult to draw any conclusions regarding the effectiveness and dosing parameters of using supervised therapeutic exercise alone for the treatment of balance deficit following mmTBI. Consequently, we believe that there is a large potential commercial opportunity for the PoNS Therapy in the treatment of balance deficit due to mmTBI. Our goal is to establish the PoNS Therapy as the standard of care for this condition all over the world.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Overview of Stroke and Current Available Treatments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According to the World Health Organization, there are more than 101 million people across the globe who have experienced a stroke, and over 12 million new strokes occur each year. In the U.S., approximately 650,000 people survive a new stroke each year and an estimated 7 million Americans live with ongoing complications of stroke. The Canadian Chronic Disease Surveillance System states that stroke is the third leading cause of death in Canada and the tenth largest contributor to disability-adjusted life years (the number of years lost due to ill-health, disability or early death). About 878,500 Canadian adults aged 20+ have experienced a stroke (2018-2019) and with the population aging, more and more Canadians are at risk. This condition often has a significant impact on the ability on one’s functionality, negatively affecting independence, employability, productivity, mental health and participation in the community. In addition, more than 80% of the survivors have a gait impairment. Rehabilitation is required following a stroke for resulting motor, cognitive and behavioral impairments. Most province public health systems in Canada offers stroke rehabilitation services along with private establishments. The potential for commercial opportunity for PoNS in order to support all these public and private establishments is wide. PoNS Therapy offers new opportunities for this type of service by enhancing physical rehabilitation and helping attain the desired goals.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PoNS Clinical Trials and Scientific Support in 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There are two peer-reviewed published studies reporting on the results of clinical trials comparing active PoNS + PT vs a no frequency pulse sham device (placebo PoNS) + PT in subjects with mild and moderate MS: Tyler et al. Journal of Neuro Engineering and Rehabilitation 2014, 11:79 and Leonard et al. Multiple Sclerosis Journal Experimental, Translational and Clinical January-March 2017: 19 DOI: 10.1177/ 2055217317690561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Summary results of the Tyler study in 20 subjects with mild and moderate MS: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study was designed as a between-group comparison of the Dynamic Gait Index (DGI) score improvement in10 subjects treated with active PoNS, in conjunction with two weeks of treatment in clinic under supervision of a registered PoNS trainer, and, individually, at home over12-weeks, as compared to 10 subjects treated with placebo PoNS and the same physical therapy regimen, after a total of 14 weeks of treatment.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 demonstrated a statistically significant improvement greater that 4 points in the DGI score from baseline in the active PoNS group as compared to placebo at endpoint (Week 14) (p&lt;0.005).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DGI improvement was already clinically meaningful at 2 weeks of treatment and continued to increase over the following 8 weeks of therapy with an average improvement of 7,7 point, which was then maintained (slightly increased) through week 14.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Summary results from the Leonard study in 14 patients treated with mild and moderate MS: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statistically significant improvement in the NeuroCom Sensory Organization Test (SOT), a test of subject’s ability to balance, from baseline to week 14 of treatment in 7 subjects treated with active PoNS as compared to the 7 subjects in placebo PoNS group (p=0.001).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Functional MRI data showed an increased blood oxygen dependent level (BOLD) signal in specific brain cortical areas, suggesting that sustained PoNS neuromodulation-induced activation of these cortical areas is likely to trigger a series of adaptive changes (neuroplasticity), expected to rehabilitate existing pathways as well as engage new mechanisms to deliver functional signals to the spinal cord, that may correlate with PoNS therapeutic outcomes observed in the Tyler study. </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Summary of Real-World Evidence (RWE) in MS patients treated with PoNS in Canada.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Gait deficit treatment outcomes for PoNS-treated individuals are routinely captured through a proprietary validated data capture software. At the time of this retrospective analysis, all data from the MS treated subjects available in our database, specifically 43 MS subjects treated with PoNS for gait deficit in Canada between March 2019 and December 2019, were utilized.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mean improvement in the FGA (functional gait assessment) from baseline to Week 14 was 4.53 (95% CI 3.35 to 5.72) with a median improvement of 5 points.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minimal detectable change, greater or equal to 4 point FGA improvement, was met by 56.7% of subjects, most of whom had chronic MS with long durations of the disease.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analysis of the surveillance safety database demonstrated an excellent safety profile supporting a positive benefit-risk ratio in the real-world clinical utilization setting. </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PoNS Clinical Trials and Scientific Support in mmTBI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There are two peer-reviewed published studies reporting on the clinical trials’ results of the PoNS Therapy in people with mmTBI. The first is from our registrational clinical trial (TBI-001): Ptito A, Papa, L, Gregory, K, Folmer, RL, Walker, WC, Prabhakaran, V, Wardini, R, Skinner, KL, Yochelson, M, (2020). “A Prospective, Multicenter Study to Assess the Safety and Efficacy of Translingual Neurostimulation Plus Physical Therapy for the Treatment of a Chronic Balance Deficit Due to Mild-to-Moderate Traumatic Brain Injury”. </w:t>
      </w:r>
      <w:r>
        <w:rPr>
          <w:rFonts w:ascii="Times New Roman;Times;serif" w:hAnsi="Times New Roman;Times;serif"/>
          <w:i/>
          <w:sz w:val="20"/>
        </w:rPr>
        <w:t>Neuromodulation: Technology at the Neural Interface</w:t>
      </w:r>
      <w:r>
        <w:rPr>
          <w:rFonts w:ascii="Times New Roman;Times;serif" w:hAnsi="Times New Roman;Times;serif"/>
          <w:sz w:val="20"/>
        </w:rPr>
        <w:t>. The second is from the Long-Term Treatment study in mmTBI Trial: Tyler, ME, Skinner, KL, Prabhakaran, V, Kaczmarek, KA, Danilov, YP (2019). “Translingual neurostimulation for the treatment of chronic symptoms due to mild-to-moderate traumatic brain injury.” Archives of Rehabilitation Research and Clinical Translation; 1(304):100026.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PoNS Registrational Clinical Trial in mmTBI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Both studies were double-blind randomized, controlled, aiming to assess the safety and effectiveness of the PoNS Therapy using translingual noninvasive electric stimulation in conjunction with physical therapy performed in clinic for the first two weeks of treatment under supervision of a registered PoNS trainer, and, individually, at home over a short-term period of time (3 or 12 -weeks) for a total of 5- or 14-week therapy, respectively for the short- and long-term studies. Both trials enrolled chronic (&gt; 1 year post head trauma event) TBI subjects with a balance deficit established as sensory organizational test (SOTT) composite score of at least 16 points below the normative value for the participant’s age, who have reached a plateau in their prior physical rehabilitation regimen outcome. According to published clinical trial data, balance impaired TBI subjects treated with physical therapy alone reached an average improvement of 10-13 points in their SOT composite score over a short-term treatment period, an improvement that trended back towards baseline values upon physical therapy discontinuation. In both PoNS studies, participants entered the trial with an average SOT composite score of 40 (1-100 range) indicative of compromised functional balance and were randomized to treatment with PoNS devices that delivered either a high-frequency pulse, or HFP, (25.7 million pulses per 20 minute treatment) or a low-frequency pulse, or LFP, (13,728 pulses per 20 minute treatment).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both studies, the primary efficacy endpoint was constructed for a between-group (HFP-treated and LFP-treated cohorts) comparison based on a greater than 15-point SOT composite score improvement at endpoint. The statistical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plans also provided for a key secondary efficacy endpoint that established the treatment response (&gt; 15 points on SOT composite score) from baseline in the pooled HFP and LFP groups at endpoint(s), should the primary measure failed to establish a significant difference between the HFP and LFP treatment groups.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Summary results of the registrational study (Ptito et al. 2020) in mild to moderate TBI subjects with balance deficit: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launched in 2015 in conjunction with the U.S. Army Medical Research and Materiel Command, or the USAMRMC and conducted at seven sites in the U.S. and Canada, evaluated 122 randomized subjects.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efficacy endpoint, although failing to demonstrate a between-group difference (p&lt;0.081), showed a higher responder rate in the HFP arm with 71.2% of subjects experiencing a greater than 15-point improvement on the SOT composite score) as compared to 63.5% in the LFP arm over a 5-week treatment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secondary efficacy endpoints demonstrated a statistically significant increase (p&lt;0.0005) in SOT composite scores from baseline for the pooled arms with a mean improvement of 18.3 points at two weeks of treatment and of 24.6 points at five weeks of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safety endpoint demonstrated a decrease in the frequency of falls as determined by daily event(s) during the in-clinic phase of the study (week two).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secondary safety endpoint demonstrated a decrease in the frequency and severity of headaches (by the Headache Disability Index) from baseline to end of treatment (at week 5).</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device-related serious adverse events were observed.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Summary of the results of the 26-week long-term treatment study (2019) in people with mmTBI:</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study, performed to evaluate the durability of response to the PoNS Therapy over a 26-week period (14-week therapy followed by 12-week washout period) conducted at the Tactile Communication Neurorehabilitation Laboratory at the University of Wisconsin-Madison and sponsored by the U.S. Army, enrolled 22 mild-to-moderate subjects with gait deficit.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efficacy endpoint, although similar to the registrational study, did not show a separation on the composite SOT score improvement between the HFP and LFP groups, confirmed the trend of a higher response rate in the HFP group.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secondary endpoint showed a 29.8-point improvement of the composite SOT score from baseline in the HFP-treated group at the end of 14 weeks of treatment.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12-week washout period, the participants maintained, on average, the same SOT composite score achieved over the 14 weeks of PoNS Therapy.</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study confirmed the favorable safety profile shown in the registrational study.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studies demonstrated that the PoNS Therapy could, on average, allow people with mmTBI who had balance deficit reach, over 14 weeks of treatment, and maintain, over 12-week post-treatment, an SOT composite score within or above the normal range. Furthermore, in a subset of nine participants, who underwent sequential magnetic resonance imaging (MRI) scans, showed meaningful structural and functional changes in specific brain areas consistent with PoNS therapeutic effect on the balance function.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PoNS Clinical Evidence and Scientific Support in Stroke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 clinical study (2017) published by Dr. Mary Galea, PoNS Therapy displayed a statistically significant effect on improving balance deficit after 2 weeks of intense physical therapy rehabilitation with PoNS, as compared to high-intensity physical therapy alone. The study was conducted in an in-patient rehabilitation setting on 10 patients who were in the subacute stroke phase and with therapy intensity higher than in most stroke rehabilitation settings.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the real-world evidence (“RWE “) database analysis of stroke patients treated with PoNS in Australia: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combined intervention with PoNS was significantly more effective than high intensity physiotherapy alone for the rehabilitation of balance in stroke survivors.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two weeks of therapy, the median score on the Mini-BEST was 22.0 in the PoNS-treated group, compared to 13 in the control group, providing a clinically significant and meaningful therapeutic outcome, especially when considering that a cut-off score of 17.5 has been shown to discriminate between fallers and non-fallers with chronic stroke (&gt; 6 months).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Gait deficit treatment outcomes for PoNS-treated individuals were analyzed through a RWE retrospective analysis of clinical data from 10 clinical rehabilitation settings in Canada sites. The RWE dataset consisted of 31 consecutive stroke patients that started treatment between March 2019 and November 2022. Patients included in this data set met the criteria for mild to moderate chronic stroke based on the rating of gait (walking) ability. Gait performance was determined using the FGA. FGA at Baseline and at Week 14, as well as changes form Baseline to Week 14 and FGA values at intermediate time points were summarized using means, standard deviations, medians, minimum and maximum values and where appropriate using 95% confidence intervals.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Summary of RWE database analysis in stroke patients treated with PoNS in Canada: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adjusted mean improvement in the Functional Gait Assessment (FGA) was 6.74 (95% CI: 4.85 to 8.63) among 30 subjects. The lower bound of this confidence interval exceeds the reported minimum detectable change (MDC) of 4.2 points for improvements in FGA in stroke patients.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of 26 (69.2%) subjects with complete data at baseline and at Week 14 had improvements larger than the MDC (95% 2-sided binomial exact CI 51.5% to 87.0%).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Among subjects with evaluable baseline and Week 14 FGA, 25 of 26 (96.2%) subjects were at risk for falling at baseline (FGA&lt;23). Among the 25 subjects with baseline fall risk, 7 (28%) subjects were no longer at risk for falling at Week 14. The one subject not at fall risk at baseline remained not at fall risk at Week 14. </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statistically reliable evidence that effectiveness varies by age, gender, or clinical site.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Safety and Tolerability Profile of PoNS Therapy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PoNS Therapy has an excellent high safety profile. Overall, the therapy is safe and well tolerated. Reported adverse events were mild and typically related to baseline comorbidities and not PoNS treatment. In Dr. Galea’s two-week randomized controlled study, no serious device-related adverse events were reported for any subject treated with PoNS. Similarly, in the MS and TBI randomized studies, there were no serious PoNS device-related adverse events in any disease groups. Furthermore, there were reductions from baseline in fall rate and in the Headache Disability Index (“HDI”) and improvements in sleep quality were also reported in the TBI studies.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PoNS device has been used in clinical rehabilitation settings with over 480 patients since March 4, 2019 to treat balance and gait disorders with more than 180,000 patient sessions recorded. An exhaustive search of the HMI complaint records for 33 patients identified with a diagnosis of stroke yields a total of 13,960 patient sessions and no serious device-related events have been recorded along with zero reportable adverse events.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Regulatory Status Worldwide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Canadian Regulatory Status: mmTBI, MS and Stroke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17, 2018, we received our Canadian marketing authorization from Health Canada allowing us to commercialize the PoNS device in Canada for use as a short-term treatment (14 weeks) of balance deficit due to mmTBI.</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This label expansion expanded our addressable market in Canada to include a patient population seeking treatment options that may resolve or delay the progression of MS gait deficit symptoms.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8, 2023, we received marketing authorization from Health Canada allowing us to commercialize the PoNS device in Canada for use as a short-term treatment of gait deficit due to mild and moderate symptoms from stroke. This expands our addressable market in Canada to include a patient population seeking treatment options that may resolve stroke gait deficit symptoms.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Regulatory Status: 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7, 2020, we received Breakthrough Designation for the PoNS device as a potential treatment for gait deficit due to symptoms of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Breakthrough Devices Program offers manufacturers an opportunity to interact with the FDA to efficiently address topics as they arise during the premarket review phase, which can help manufacturers receive feedback from the FDA and identify areas of agreement in a timely way. Manufacturers can also expect prioritized review of their submission.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Breakthrough Device Designation does not change the requirements for approval of an application for a marketing authorization.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26, 2021, we received marketing authorization from the FDA of the PoNS device for use as a short-term treatment of gait deficit due to mild-to-moderate symptoms of MS and is to be used as an adjunct to a supervised therapeutic exercise program in patients 22 years of age and over by prescription only.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29, 2024, we received Healthcare Common Procedure Coding System (HCPCS) codes for the PoNS controller and for the PONS mouthpiece, which will become effective on April 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continue monitoring the development by Centers for Medicare &amp; Medicaid Service (“CMS”) of a</w:t>
        <w:br/>
        <w:t xml:space="preserve">new pathway for coverage of innovative new devices, Transitional Coverage of Emerging Technology (“TCET”), which is replacing the repealed Medicare Coverage of Innovative Technologies (“MCIT”) rule. CMS is expected to share more about TCET with the public for comments in 2024. As we follow the evolution of TCET, we will continue to assess our evidence generation strategy to maximize the potential to gain CMS reimbursement benefits as a result of our Breakthrough designation in MS. While we will continue to monitor this, we will also remain focused on building out our reimbursement strategy for both commercial and government payers.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intend to provide broad access and reimbursement for the PoNS Therapy over time through commercial insurers. Prior to the initiation of CMS or broad commercial payer coverage, the primary source of sales have been self-pay patients. We expect to continue to support the cost of the PoNS Therapy by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 once HCPCS codes become effective.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September 2021, we started activities to set up and implement a new study as part of a Therapeutic Experience Program, or PoNSTEP, with NYU Langone Health as our first Center of Excellence clinical site. Since then, we have added five additional clinical sites to the program. Recruitment site information can be found on clinicaltrials.gov. PoNSTEP is a Helius-sponsored, open label observations, interventional multi-center outcome research trial designed to assess adherence to on-label PoNS Therapy for improvement in gait deficits with MS in a real-world clinical setting.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study measures subjects’ adherence to PoNS Therapy, which combines the PoNS device with physical therapy, to better understand the relationship between adherence to the treatment regimen and therapeutic functional outcome. The primary endpoint of the study is maintenance of gait improvement from the end of supervised therapy (Phase 1) to the end of unsupervised therapy (Phase 2) in relation to the subject’s adherence to PoNS Therapy. The secondary endpoints are improvement of gait and balance deficit over time, and clinical global impression of change. Enrollment commenced in the second half of 2022 and is expected to be completed in 2024 with targeted participation of approximately forty to fifty patients with 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Regulatory Status: Stroke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August 2021, we received Breakthrough Designation for the PoNS device as a potential treatment for dynamic gait and balance deficits due to symptoms from stroke, to be used as an adjunct to a supervised therapeutic exercise program in patients 22 years of age and over. With Breakthrough Designation received, a clinical trial of PoNS Therapy in stroke participants in collaboration with Medical University of South Carolina commenced in 2023 with initial patient enrollments beginning in the second half of 2023. An open label study to evaluate the therapeutic benefit of PoNS in chronic stroke subjects will start enrolling participants in the first quarter 2024 in three sites in the U.S. and Canada as part of our registrational program for gait and balance deficit due to stroke. Enrollment for both studies is expected to be completed by the end of 2024 with a submission to FDA targeted for mid-to-late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Regulatory Status: mmTBI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U.S. regulatory strategy initially focused on pursuing de novo classification and clearance of the PoNS device from the FDA for the treatment of balance deficit due to mmTBI.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submitted a request for de novo classification and clearance of the PoNS device to the FDA for this indication in August 2018. This request was supported by data from two of our clinical trials in mmTBI, including our registrational trial, TBI-001.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April 2019, we announced that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October 2019, we had a pre-submission meeting where the FDA provided feedback needed to help complete the design of a new clinical trial intended to address the FDA’s request for a trial that demonstrates the benefit of the PoNS Therapy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the receipt of the FDA’s final minutes from the pre-submission meeting, we are assessing the feasibility of a clinical program to advance the development of a study aimed to obtain clearance for gait and balance deficits in mmTBI if nondilutive financing to fund the program becomes available.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European Regulatory Status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December 2018, we submitted an application for CE certification with a notified body in the European Union (“EU”), which, if granted, would allow us to CE mark and market the PoNS device in the EU. During the second quarter of 2019, we engaged with our notified body in Europe to answer questions that we received from them as part of the conformity assessment of our PoNS device for CE certification. In August 2019, we withdrew our application to be CE certified due to uncertainty in Europe caused by the switch from the Medical Device Directive, or MDD, to the Medical Device Regulation, or MDR, Brexit, and the withdrawal of Lloyd’s Register Quality Assurance, our notified body, from the EU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notified body business. We have engaged G-MED NA (North America) as our ISO registrar and will reconsider submitting to the EU when conditions stabilize.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Australian Regulatory Status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intended for short term use by healthcare professionals as an adjunct to a therapeutic exercise program to improve balance and gait. PoNS is not intended to be used alone without an exercise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HTC Exclusive Distribution Agreement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On March 3, 2023, we entered into an Exclusive Distribution Agreement with Health Tech Connex, Inc. (“HTC”) (“HTC Exclusivity Agreement”), whereby, subject to certain terms and conditions, we granted to HTC the exclusive right to provide the PoNS Therapy in the Fraser Valley and Vancouver metro regions of British Columbia, where HTC has operated a PoNS authorized clinic since February 2019. HTC purchases the PoNS devices for use in these regions exclusively from us and on terms no less favorable than the then-current standard terms and conditions. This HTC Exclusivity Agreement replaces the previous Clinical Research and Co-Promotion Agreement (“HTC Co-Promotion Agreement”) between the parties dated October 2019.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 Development, Manufacturing and Logistics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commercial design of the PoNS device is currently manufactured and assembled by Key Tronic Corporation (“Key Tronic”), our contract manufacturing partner since 2017, at its facility located in Oakdale, Minnesota. Key Tronic manufactures devices for engineering and design verification testing and for our FDA submission as well as commercial devices for launch inventory. During the third quarter of 2023, the Company began implementing the transition of the manufacturing of PoNS device controllers and mouthpieces from Key Tronic to Minnetronix, Inc in St. Paul, MN. The Company expects this transition to be fully completed by mid-2024. We remain ultimately responsible for the compliance of our submissions and products and for the activities performed on our behalf.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place an emphasis on protecting our patented technology, trade secrets and know-how and only share confidential information on an as needed basis. Both Minnetronix and Key Tronic are registered as medical device manufacturers in good standing with the FDA and along with Cambridge Consultants, our design services supplier, are certified in accordance with International Organization for Standardization, or ISO, 13485, a comprehensive quality management system for the design and manufacture of medical devices. HMI maintains a compliant quality management system certified to ISO 13485:2016 and compliant with MDSAP requirements for the U.S., Canada and Australia.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2021, we contracted with Healthlink International Inc. (“Healthlink”) to provide third party logistics for domestic and Canadian shipment and order fulfillment, and to provide warehousing services for finished goods. Healthlink began fulfilling orders in the United States effective with the commencement of commercial sales in the United States in April 2022 and in Canada during the fourth quarter of 2022. Healthlink is a life science solutions company, specializing in logistics, temperature-controlled warehousing, fulfillment and freight management as well as back-office services, including multilingual customer service, financial services and VAT 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Commercialization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Canadian Commercialization Efforts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March 2019, we commenced the commercialization of our PoNS Therapy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Therapy, including the acquisition of the Heuro Canada, Inc. (“Heuro”) operating entity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HTC. These efforts, which were led by our local Canadian commercial team, included the establishment of our authorized clinic network throughout Canada, launching digital marketing campaigns, and building key opinion leader and advocacy networks.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9, 2023, we announced the authorization from Health Canada to market PoNS Therapy for the treatment of gait deficit due to mild and moderate symptoms from stroke. This indication is instrumental as it is one of the most significant indications impacting balance and gait in Canada, and it provides the opportunity to extend options for coverage through government and third-party payers.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Following in-depth market analysis and field intelligence, our Canadian commercial team began an expansion plan to increase the number of authorized PoNS clinics. During the year ended December 31, 2023, we authorized 22 new clinical locations to have 81 clinic locations across Canada as of December 31, 2023. In addition to continuing to increase the number of clinic locations, we have shifted our focus to driving patient throughput to these clinics.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value dossiers for mmTBI, stroke and MS that were created in mid-2020 to fully demonstrate in both scientific and financial terms, the merits of PoNS Therapy for claimants are now being utilized along with submissions from clinics on behalf of their patients. The dossiers are provided to our clinics across Canada to submit as part of treatment plans with reimbursement applications to the payer community. Our reimbursement strategy for mmTBI is focused on the auto collision insurance and workers’ compensation (“WC”), market as well as long-term disability cases. Our reimbursement strategy for MS is focused on commercial insurers/extended health benefits and charitable foundations that support these patient conditions</w:t>
      </w:r>
      <w:r>
        <w:rPr>
          <w:rFonts w:ascii="Times New Roman;Times;serif" w:hAnsi="Times New Roman;Times;serif"/>
          <w:color w:val="0070C0"/>
          <w:sz w:val="20"/>
        </w:rPr>
        <w:t xml:space="preserve">. </w:t>
      </w:r>
      <w:r>
        <w:rPr>
          <w:rFonts w:ascii="Times New Roman;Times;serif" w:hAnsi="Times New Roman;Times;serif"/>
          <w:sz w:val="20"/>
        </w:rPr>
        <w:t>Our reimbursement strategy for stroke is focused on private payers while also demonstrating to public health organizations the benefits and potential PoNS Therapy could provide within their respective networks.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part of our overall PoNS Therapy strategy, we are also gathering comprehensive health economic assessments of treatment outcomes. These data will, in-turn, be used to support our applications for WC, auto insurance and commercial insurance reimbursement initiatives in Canada, the U.S. and other markets around the world.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real-world results from the collective experience of our patients that have completed the 14-week PoNS Therapy, in Canada thus far, have been encouraging. Consistent with what we observed in our two clinical trials, one for 5 weeks and the other for 14 weeks, commercial MS and mmTBI patients demonstrated improvements in balance and gait within the first two weeks followed by continued improvement over the following twelve weeks. The majority of patients had a mean patient adherence to treatment of over 90% and showed significant improvement in their balance and gait with a meaningful clinical difference at the end of their treatment. Similar results were observed in the treatment of patients with symptoms from stroke. The consistency of the patient results from our initial commercial experience supports our plans to expand access PoNS Therapy in Canada.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Commercialization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26, 2021, we received marketing authorization from the FDA for the PoNS device. The PoNS device is indicated for use as a short term treatment of gait deficit due to mild-to-moderate symptoms of MS and is to be used as an adjunct to a supervised therapeutic exercise program in patients 22 years of age and over by prescription only.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Throughout the pre-commercial phase during 2021 and early 2022, we developed and refined our commercial strategy including a focus on payer strategy, both government and commercial, securing distribution licenses in various states and beginning to build relationships with key large neurorehabilitation centers, which focus on treatment of MS patients. We continue to generate data on outcomes of the PoNS Therapy generated from treatment of patients in Canada and ensuring that our scientific data is presented at many of the key national and international neurology and neuromodulation meetings. We believe this scientific dissemination may begin to pave the way to establishing the PoNS Therapy as the standard of care for the treatment of MS-related gait deficit.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began accepting prescriptions for PoNS in the U.S. in the first quarter of 2022, and our first commercial sales began in April 2022. Presently, PoNS Therapy is not covered by the Medicare program or reimbursed by any other payors in the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targeted specific Key Opinion Leaders (i.e., neurologists and physiatrists) and their associated neurorehabilitation centers, where selected physical therapists will be trained to deliver the PoNS Therapy. Importantly, this focused strategy will also allow us to measure patient outcomes to determine if they are similar to those observed in our clinical trials.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June 2022, we launched the Patient Therapy Access Program (“PTAP”) program, which provided qualifying patients access to PoNS Therapy at a significantly reduced price. Through the PTAP program, the Company collected important health information that helped gain insight into the value of PoNS on key therapeutic outcomes that supplemented the data collected through clinical trials and real-world data. The PTAP was not renewed and terminated on June 30,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2022, we launched an e-commerce site in the US to make it easier for patients to obtain PoNS devices, and began processing orders in January 2023. Accessed via ponstherapy.com, the site is powered through a new partnership with UpScriptHealth, a leading telehealth company focused on making medications and devices available direct-to-consumer. UpScriptHealth’s platform provides for (1) online health evaluations with qualified medical providers, (2) fulfillment of prescriptions required for PoNS Therapy and (3) shipping of PoNS devices directly to the homes of eligible patients in the United States. The UpScriptHealth platform makes it possible for people with MS to have a PoNS device delivered directly to their doorstep.</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we contracted with an industry consultant to conduct a health economic study of PoNS. Based upon the results of this study and comparing PoNS to other medical devices utilizing similar patented technologies we established a U.S. list price for the PoNS device of $25,700, comprised of $17,800 for the controller and $7,900 for the mouthpiece. We are pursuing commercial insurance coverage and Medicare reimbursement for PoNS within the Durable Medical Equipment (“DME”), benefit category. We initially applied for unique Healthcare Common Procedure Coding System (“HCPCS”) codes during the third quarter of 2021. In order to address CMS’s request for additional information to “further understand the PoNS device indication for use”, we decided to monitor real-world utilization of PoNS Therapy and collect additional clinical evidence through our ongoing PoNSTEP study and our registry program. Based on consistent reports of positive therapeutic benefits experienced by MS patients through our commercial programs, we reapplied for HCPCS codes in the second quarter of 2023 leveraging new information, addressing their questions and providing further support in favor of obtaining unique HCPCS codes for PoNS. In February 2024, CMS assigned HCPCS Level II codes A4593, “Neuromodulation stimulator system, adjunct to rehabilitation therapy regime” to describe the PoNS controller and A4594, “Neuromodulation stimulator system, adjunct to rehabilitation therapy regime, mouthpiece each” to describe the PoNS mouthpiece. The new HCPCS codes will be effective April 1, 2024. We expect to interact again with CMS in the second half of 2024 – to seek Medicare final payment determinations for both codes to be effective at the next scheduled date of October 1, 2024. Concurrently, we will be approaching various third-party payers to negotiate coverage under these codes. In general, we anticipate that it will take at least 24 months to obtain broad coverage and reimbursement among government and private payers once the HCPCS codes become effective.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Commercialization in Other Markets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submitted an application to be CE certified in December 2018. In preparation for our launch in the United Kingdom (“UK”), and the EU, we entered into a consulting agreement with a UK-based company with expertise in the development of new services in the healthcare industry to leverage local market insights to develop a comprehensive commercialization strategy and tactical plan for launch of the PoNS Therapy in the UK. As previously described, in August 2019, we withdrew our application to be EU certified and will revisit our UK and EU commercialization plans as terms of CE/UKCA certification become clearer under the new regulations.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submitted an application to the TGA in Australia during the third quarter of 2019.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authorized as a non-implantable neurostimulator intended for short term used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healthcare professionals as an adjunct to a therapeutic exercise program to improve balance and gait. PoNS is not intended to be used alone without an exercise program. We are working to establish a distribution partner for Australia but have not yet had any commercial sales of PoNS in Australia.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Global Economic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Generally, worldwide economic conditions remain uncertain, in part due to supply chain disruptions, labor shortages, global conflicts and increased inflation. The general economic and capital market conditions both in the U.S. and worldwide, have been volatile in the recent years and at times have adversely affected our access to capital and have increased the cost of capital. The capital and credit markets may not be available to support future capital raising activity on favorable terms. If economic conditions continue to remain volatile or decline, our future cost of equity or debt capital and access to the capital markets could be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operating results could be materially impacted by changes in the overall macroeconomic environment and other economic factors. Changes in economic conditions, supply chain constraints, logistics challenges, labor shortages, global conflicts such as the conflicts in Ukraine and in the Middle East, and steps taken by governments and central banks as well as other stimulus and spending programs, have led to higher inflation, which has led to an increase in costs and has caused changes in fiscal and monetary policy, including increased interest rates. Although we may take measures to mitigate these impacts, if these measures are not effective, our business, financial condition, results of operations, and liquidity could be materially adversely affected.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Coverage and Reimbursement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Canadian Reimbursement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that traditional life and health payers may be among the earliest to provide coverage and reimbursement for the PoNS Therapy, and therefore, we are focusing on gaining coverage for the PoNS Therapy through them. Life and health encompass long- and short-term disability claims. Because these payers are responsible for both medical expenses and lost wages, they have an incentive to seek ways to help injured employees to return to work. As part of our commercial treatment program in Canada, we will collect both outcomes and return to work data, which we plan to utilize with life and health, provincial workers compensation insurance programs, and property and casualty insurers to demonstrate both the clinical and economic value associated with the PoNS Therapy.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Reimbursement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U.S., we plan to engage with select payer segments to obtain coverage and reimbursement for the PoNS Therapy. We intend to combine evidence from our clinical trials and real-world experience from commercial clinics in Canada to demonstrate the value proposition of the PoNS Therapy to payers and support favorable coverage and reimbursement decisions.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Significant uncertainty exists regarding the coverage and reimbursement status of products approved by the FDA and other government authorities. In the United States, sales of our products depend in significant part on the availability and adequacy of coverage and reimbursement from third party payors for our product and for services that use our products.  Third-party payors include government authorities such as Medicare and Medicaid, managed care providers, private health insurers, and other organizations. The process for determining whether a payor will provide coverage may be separate from the process for setting the reimbursement rate that the payor will pay for the product or service. Moreover, a payor’s decision to provide coverage does not imply that an adequate reimbursement rate will be approved.  Adequate third-party reimbursement may not be available to enable us to maintain price levels sufficient to realize an appropriate return on our investment in product development.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Third-party payors are increasingly challenging the prices charged for, examining the medical necessity, safety, and efficacy of, and assessing the cost-effectiveness of medical products. The U.S. government and state legislatures have shown significant interest in implementing cost containment programs to limit the growth of government-paid health care costs, including price controls and restrictions on reimbursement. Any such downward pressure 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reimbursement for our products could limit our ability to realize an appropriate return on our investment in product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CMS has indicated that it is developing a program that would provide a pathway for expedited transitional coverage of emerging technologies under the Medicare program, though that rule has yet to be released. While we will continue to monitor this, we will also remain focused on building out our reimbursement strategy for both commercial and government payers. We continue to work with Medicare requirements and policies for coverage, coding, and payment of durable medical equipment and assess how the PoNS device may be treated with respect to coding, coverage, and reimbursement under the Medicare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neurostimulation market is predominantly comprised of surgically implanted, invasive technologies that are not directly competitive with our technology. Several neurostimulation companies are large, publicly-traded companies that have a history in the market, have significantly easier access to capital and other resources and have an established product pipeline. The combined clinical research and product development done by the industry, including by us and all of our competitors, is uncovering the beneficial effects of neurostimulation which now establishes neuromodulation as a valid and scientifically supported approach to the treatment of neurological conditions, and accordingly, we expect for competition in the non-implantable space to grow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However, we believe that we will have the first-mover advantage in the non-implantable neurostimulation space.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that the PoNS Therapy introduces an innovative target and method of stimulation, because targeting the tongue for neurostimulation provides several advantages that competitively distinguish the PoNS Therapy, which are discussed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Advantages of the PoNS Therapy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that the PoNS Therapy offers the following benefits over existing neurostimulation technologies: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PoNS device stimulates the trigeminal nerve, which developing science has implicated to be beneficial in some neurological disorder models. Specifically, PoNS stimulates only one branch of the trigeminal nerve, the lingual nerve through its terminals in the tongue, while other technologies stimulate other branches of the trigeminal nerve.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Translingual stimulation also results in stimulating the facial nerve through its chorda tympani branch, which has its nerve terminals in the tongue. Although it’s unclear whether concomitant stimulation of additional nerves is material to the efficacy or safety of PoNS, stimulation of these two cranial nerves triggers selective activation of specific cerebellar, brainstem, and cerebral areas involved in the control of movement and coordination functions. Furthermore, the ability to stimulate more than one nerve at a time differentiates our technology from our competition.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tongue has an anatomically unique surface with a high density of receptors, a consistently moist and conductive environment, constant pH, constant temperature and a direct connection to the brain through at least two cranial nerves. This a critical feature of how PoNS therapeutic effect is mediated since, similarly to the way most of the pharmacological agents act, translingual stimulation allows direct activation of neural targets that mediate signal transmission to the spinal cord and resulting therapeutic effect.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Scientific studies suggest that the trigeminal cranial nerves offer a high-bandwidth pathway for impulses to directly affect the central nervous system. The trigeminal nerves project directly onto several areas of the brain, primarily the brainstem (trigeminal and solitary nuclei), cerebellum, cochlear nuclei and spinal cord. Secondary targets include the cerebral premotor, motor, and prefrontal cortices, as well as deep brain areas such as the limbic system, basal ganglia and thalamus. We believe that this range of projections will allow impulses to reach central and peripheral targets that regulate dozens of functions.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Unlike deep brain stimulation devices, implantable vagal nerve devices and other invasive forms of electrical stimulation, the tongue allows for neurostimulation to be delivered via a portable, non-implantable device. This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allows for the concomitant utilization of portable neurostimulation with a wide range of pharmacological therapies and non-pharmacological interventions previously unexplored for neurological rehabilitation.</w:t>
            </w:r>
          </w:p>
        </w:tc>
      </w:tr>
    </w:tbl>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Licensed Intellectual Property</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Pursuant to the Second Amended and Restated Patent Sub-License, or the Sublicense Agreement, dated June 6, 2014 entered into between Advanced NeuroRehabilitation LLC, or ANR, and HMI, ANR has granted HMI a worldwide, exclusive license to make, have made, use, lease and sell devices utilizing certain patent applications, which are collectively referred to as the “Patent Pending Rights.” The Patent Pending Rights relate to the PoNS device and include the following patents and patent applications, which cover a device that noninvasively delivers neurostimulation through the skin or intra-orally to the brain stem via various nerves including the trigeminal and facial nerves:</w:t>
      </w:r>
    </w:p>
    <w:tbl>
      <w:tblPr>
        <w:tblW w:w="10205" w:type="dxa"/>
        <w:jc w:val="left"/>
        <w:tblInd w:w="0" w:type="dxa"/>
        <w:tblLayout w:type="fixed"/>
        <w:tblCellMar>
          <w:top w:w="0" w:type="dxa"/>
          <w:left w:w="0" w:type="dxa"/>
          <w:bottom w:w="0" w:type="dxa"/>
          <w:right w:w="0" w:type="dxa"/>
        </w:tblCellMar>
      </w:tblPr>
      <w:tblGrid>
        <w:gridCol w:w="1000"/>
        <w:gridCol w:w="326"/>
        <w:gridCol w:w="946"/>
        <w:gridCol w:w="326"/>
        <w:gridCol w:w="676"/>
        <w:gridCol w:w="326"/>
        <w:gridCol w:w="916"/>
        <w:gridCol w:w="326"/>
        <w:gridCol w:w="850"/>
        <w:gridCol w:w="326"/>
        <w:gridCol w:w="4187"/>
      </w:tblGrid>
      <w:tr>
        <w:trPr/>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35000" cy="175260"/>
                      <wp:effectExtent l="0" t="0" r="0" b="0"/>
                      <wp:wrapNone/>
                      <wp:docPr id="11" name="Frame7"/>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2"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00710" cy="175260"/>
                      <wp:effectExtent l="0" t="0" r="0" b="0"/>
                      <wp:wrapNone/>
                      <wp:docPr id="13" name="Frame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4"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9260" cy="175260"/>
                      <wp:effectExtent l="0" t="0" r="0" b="0"/>
                      <wp:wrapNone/>
                      <wp:docPr id="15" name="Frame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81660" cy="175260"/>
                      <wp:effectExtent l="0" t="0" r="0" b="0"/>
                      <wp:wrapNone/>
                      <wp:docPr id="17" name="Frame1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8"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39750" cy="175260"/>
                      <wp:effectExtent l="0" t="0" r="0" b="0"/>
                      <wp:wrapNone/>
                      <wp:docPr id="19" name="Frame15"/>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0"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658745" cy="175260"/>
                      <wp:effectExtent l="0" t="0" r="0" b="0"/>
                      <wp:wrapNone/>
                      <wp:docPr id="21" name="Frame17"/>
                      <a:graphic xmlns:a="http://schemas.openxmlformats.org/drawingml/2006/main">
                        <a:graphicData uri="http://schemas.microsoft.com/office/word/2010/wordprocessingShape">
                          <wps:wsp>
                            <wps:cNvSpPr txBox="1"/>
                            <wps:spPr>
                              <a:xfrm>
                                <a:off x="0" y="0"/>
                                <a:ext cx="265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Patent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Application</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4187" w:type="dxa"/>
            <w:tcBorders/>
            <w:vAlign w:val="center"/>
          </w:tcPr>
          <w:p>
            <w:pPr>
              <w:pStyle w:val="TableContents"/>
              <w:bidi w:val="0"/>
              <w:spacing w:before="0" w:after="0"/>
              <w:ind w:left="0" w:right="0" w:hanging="0"/>
              <w:jc w:val="center"/>
              <w:rPr/>
            </w:pPr>
            <w:r>
              <w:rPr/>
              <w:t>​</w:t>
            </w:r>
          </w:p>
        </w:tc>
      </w:tr>
      <w:tr>
        <w:trPr/>
        <w:tc>
          <w:tcPr>
            <w:tcW w:w="10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Application No.</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Filing Date</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Status</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Patent No.</w:t>
            </w:r>
          </w:p>
        </w:tc>
        <w:tc>
          <w:tcPr>
            <w:tcW w:w="326" w:type="dxa"/>
            <w:tcBorders/>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Issue Date</w:t>
            </w:r>
          </w:p>
        </w:tc>
        <w:tc>
          <w:tcPr>
            <w:tcW w:w="326" w:type="dxa"/>
            <w:tcBorders/>
            <w:vAlign w:val="center"/>
          </w:tcPr>
          <w:p>
            <w:pPr>
              <w:pStyle w:val="TableContents"/>
              <w:bidi w:val="0"/>
              <w:spacing w:before="0" w:after="0"/>
              <w:ind w:left="0" w:right="0" w:hanging="0"/>
              <w:jc w:val="left"/>
              <w:rPr/>
            </w:pPr>
            <w:r>
              <w:rPr/>
              <w:t>​</w:t>
            </w:r>
          </w:p>
        </w:tc>
        <w:tc>
          <w:tcPr>
            <w:tcW w:w="41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Subject Matter</w:t>
            </w:r>
          </w:p>
        </w:tc>
      </w:tr>
      <w:tr>
        <w:trPr/>
        <w:tc>
          <w:tcPr>
            <w:tcW w:w="10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12/348,301</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1/4/2009</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8,849,407</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9/30/2014</w:t>
            </w:r>
          </w:p>
        </w:tc>
        <w:tc>
          <w:tcPr>
            <w:tcW w:w="326" w:type="dxa"/>
            <w:tcBorders/>
            <w:shd w:fill="CCEEFF" w:val="clear"/>
            <w:vAlign w:val="center"/>
          </w:tcPr>
          <w:p>
            <w:pPr>
              <w:pStyle w:val="TableContents"/>
              <w:bidi w:val="0"/>
              <w:spacing w:before="0" w:after="0"/>
              <w:ind w:left="0" w:right="0" w:hanging="0"/>
              <w:jc w:val="left"/>
              <w:rPr/>
            </w:pPr>
            <w:r>
              <w:rPr/>
              <w:t> </w:t>
            </w:r>
          </w:p>
        </w:tc>
        <w:tc>
          <w:tcPr>
            <w:tcW w:w="4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of the skin combined with simultaneous physical therapy to provide neurorehabilitation of a patient to treat various maladies including, e.g., TBI, stroke and Alzheimer’s disease</w:t>
            </w:r>
          </w:p>
        </w:tc>
      </w:tr>
      <w:tr>
        <w:trPr/>
        <w:tc>
          <w:tcPr>
            <w:tcW w:w="10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14/340,144</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7/24/2014</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8,909,345</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12/9/2014</w:t>
            </w:r>
          </w:p>
        </w:tc>
        <w:tc>
          <w:tcPr>
            <w:tcW w:w="326" w:type="dxa"/>
            <w:tcBorders/>
            <w:vAlign w:val="center"/>
          </w:tcPr>
          <w:p>
            <w:pPr>
              <w:pStyle w:val="TableContents"/>
              <w:bidi w:val="0"/>
              <w:spacing w:before="0" w:after="0"/>
              <w:ind w:left="0" w:right="0" w:hanging="0"/>
              <w:jc w:val="left"/>
              <w:rPr/>
            </w:pPr>
            <w:r>
              <w:rPr/>
              <w:t> </w:t>
            </w:r>
          </w:p>
        </w:tc>
        <w:tc>
          <w:tcPr>
            <w:tcW w:w="4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within a patient’s mouth combined with physical therapy to provide neurorehabilitation of a patient to treat various maladies including, e.g., TBI, stroke, and Alzheimer’s disease</w:t>
            </w:r>
          </w:p>
        </w:tc>
      </w:tr>
      <w:tr>
        <w:trPr/>
        <w:tc>
          <w:tcPr>
            <w:tcW w:w="10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14/341,141</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7/25/2014</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9,020,612</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4/28/2015</w:t>
            </w:r>
          </w:p>
        </w:tc>
        <w:tc>
          <w:tcPr>
            <w:tcW w:w="326" w:type="dxa"/>
            <w:tcBorders/>
            <w:shd w:fill="CCEEFF" w:val="clear"/>
            <w:vAlign w:val="center"/>
          </w:tcPr>
          <w:p>
            <w:pPr>
              <w:pStyle w:val="TableContents"/>
              <w:bidi w:val="0"/>
              <w:spacing w:before="0" w:after="0"/>
              <w:ind w:left="0" w:right="0" w:hanging="0"/>
              <w:jc w:val="left"/>
              <w:rPr/>
            </w:pPr>
            <w:r>
              <w:rPr/>
              <w:t> </w:t>
            </w:r>
          </w:p>
        </w:tc>
        <w:tc>
          <w:tcPr>
            <w:tcW w:w="4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within a patient's mouth combined with cognitive therapy to provide neurorehabilitation of a patient resulting in improved reading comprehension and increased attention span as well as the treatment various maladies including, but not limited to, TBI, stroke, and Alzheimer's disease</w:t>
            </w:r>
          </w:p>
        </w:tc>
      </w:tr>
      <w:tr>
        <w:trPr/>
        <w:tc>
          <w:tcPr>
            <w:tcW w:w="10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14/615,766</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2/6/2015</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9,656,078</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5/23/2017</w:t>
            </w:r>
          </w:p>
        </w:tc>
        <w:tc>
          <w:tcPr>
            <w:tcW w:w="326" w:type="dxa"/>
            <w:tcBorders/>
            <w:vAlign w:val="center"/>
          </w:tcPr>
          <w:p>
            <w:pPr>
              <w:pStyle w:val="TableContents"/>
              <w:bidi w:val="0"/>
              <w:spacing w:before="0" w:after="0"/>
              <w:ind w:left="0" w:right="0" w:hanging="0"/>
              <w:jc w:val="left"/>
              <w:rPr/>
            </w:pPr>
            <w:r>
              <w:rPr/>
              <w:t> </w:t>
            </w:r>
          </w:p>
        </w:tc>
        <w:tc>
          <w:tcPr>
            <w:tcW w:w="4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within a patient’s mouth combined with stimulation of the patient’s vision, hearing, vestibular systems, or somatosensory systems for the treatment of tinnitus</w:t>
            </w:r>
          </w:p>
        </w:tc>
      </w:tr>
      <w:tr>
        <w:trPr/>
        <w:tc>
          <w:tcPr>
            <w:tcW w:w="10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14/689,462</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4/17/2015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9,597,501</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3/21/2017</w:t>
            </w:r>
          </w:p>
        </w:tc>
        <w:tc>
          <w:tcPr>
            <w:tcW w:w="326" w:type="dxa"/>
            <w:tcBorders/>
            <w:shd w:fill="CCEEFF" w:val="clear"/>
            <w:vAlign w:val="center"/>
          </w:tcPr>
          <w:p>
            <w:pPr>
              <w:pStyle w:val="TableContents"/>
              <w:bidi w:val="0"/>
              <w:spacing w:before="0" w:after="0"/>
              <w:ind w:left="0" w:right="0" w:hanging="0"/>
              <w:jc w:val="left"/>
              <w:rPr/>
            </w:pPr>
            <w:r>
              <w:rPr/>
              <w:t> </w:t>
            </w:r>
          </w:p>
        </w:tc>
        <w:tc>
          <w:tcPr>
            <w:tcW w:w="4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of a patient’s skin combined with cognitive therapy to provide neurorehabilitation of a patient resulting in improved reading comprehension and increased attention span as well as the treatment various maladies including, e.g., TBI, stroke, and Alzheimer’s disease</w:t>
            </w:r>
          </w:p>
        </w:tc>
      </w:tr>
      <w:tr>
        <w:trPr/>
        <w:tc>
          <w:tcPr>
            <w:tcW w:w="10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14/815,171</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7/31/2015</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9,597,504</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3/21/2017</w:t>
            </w:r>
          </w:p>
        </w:tc>
        <w:tc>
          <w:tcPr>
            <w:tcW w:w="326" w:type="dxa"/>
            <w:tcBorders/>
            <w:vAlign w:val="center"/>
          </w:tcPr>
          <w:p>
            <w:pPr>
              <w:pStyle w:val="TableContents"/>
              <w:bidi w:val="0"/>
              <w:spacing w:before="0" w:after="0"/>
              <w:ind w:left="0" w:right="0" w:hanging="0"/>
              <w:jc w:val="left"/>
              <w:rPr/>
            </w:pPr>
            <w:r>
              <w:rPr/>
              <w:t> </w:t>
            </w:r>
          </w:p>
        </w:tc>
        <w:tc>
          <w:tcPr>
            <w:tcW w:w="4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of a patient’s mouth combined with therapy to provide neurorehabilitation of a patient, with a focus on features of a neurostimulation device</w:t>
            </w:r>
          </w:p>
        </w:tc>
      </w:tr>
      <w:tr>
        <w:trPr/>
        <w:tc>
          <w:tcPr>
            <w:tcW w:w="10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15/207,029</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7/11/2016</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9,656,069</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5/23/2017</w:t>
            </w:r>
          </w:p>
        </w:tc>
        <w:tc>
          <w:tcPr>
            <w:tcW w:w="326" w:type="dxa"/>
            <w:tcBorders/>
            <w:shd w:fill="CCEEFF" w:val="clear"/>
            <w:vAlign w:val="center"/>
          </w:tcPr>
          <w:p>
            <w:pPr>
              <w:pStyle w:val="TableContents"/>
              <w:bidi w:val="0"/>
              <w:spacing w:before="0" w:after="0"/>
              <w:ind w:left="0" w:right="0" w:hanging="0"/>
              <w:jc w:val="left"/>
              <w:rPr/>
            </w:pPr>
            <w:r>
              <w:rPr/>
              <w:t> </w:t>
            </w:r>
          </w:p>
        </w:tc>
        <w:tc>
          <w:tcPr>
            <w:tcW w:w="4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of a subject’s oral cavity while the subject engages in an exercise in order to enhance the subject’s proficiency in the exercise</w:t>
            </w:r>
          </w:p>
        </w:tc>
      </w:tr>
      <w:tr>
        <w:trPr/>
        <w:tc>
          <w:tcPr>
            <w:tcW w:w="10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15/283,894</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10/3/2016</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10,293,163</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5/21/2019</w:t>
            </w:r>
          </w:p>
        </w:tc>
        <w:tc>
          <w:tcPr>
            <w:tcW w:w="326" w:type="dxa"/>
            <w:tcBorders/>
            <w:vAlign w:val="center"/>
          </w:tcPr>
          <w:p>
            <w:pPr>
              <w:pStyle w:val="TableContents"/>
              <w:bidi w:val="0"/>
              <w:spacing w:before="0" w:after="0"/>
              <w:ind w:left="0" w:right="0" w:hanging="0"/>
              <w:jc w:val="left"/>
              <w:rPr/>
            </w:pPr>
            <w:r>
              <w:rPr/>
              <w:t> </w:t>
            </w:r>
          </w:p>
        </w:tc>
        <w:tc>
          <w:tcPr>
            <w:tcW w:w="4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of a subject’s oral cavity or skin while the subject engages in a physical or cognitive exercise in order to enhance the subject’s proficiency in the exercise</w:t>
            </w:r>
          </w:p>
        </w:tc>
      </w:tr>
      <w:tr>
        <w:trPr/>
        <w:tc>
          <w:tcPr>
            <w:tcW w:w="10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15/602,060</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5/22/2017</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10,328,263</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6/25/2019</w:t>
            </w:r>
          </w:p>
        </w:tc>
        <w:tc>
          <w:tcPr>
            <w:tcW w:w="326" w:type="dxa"/>
            <w:tcBorders/>
            <w:shd w:fill="CCEEFF" w:val="clear"/>
            <w:vAlign w:val="center"/>
          </w:tcPr>
          <w:p>
            <w:pPr>
              <w:pStyle w:val="TableContents"/>
              <w:bidi w:val="0"/>
              <w:spacing w:before="0" w:after="0"/>
              <w:ind w:left="0" w:right="0" w:hanging="0"/>
              <w:jc w:val="left"/>
              <w:rPr/>
            </w:pPr>
            <w:r>
              <w:rPr/>
              <w:t> </w:t>
            </w:r>
          </w:p>
        </w:tc>
        <w:tc>
          <w:tcPr>
            <w:tcW w:w="4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within a patient’s mouth or on a patient’s skin combined with an exercise for treatment of a disorder affecting sleep patterns</w:t>
            </w:r>
          </w:p>
        </w:tc>
      </w:tr>
      <w:tr>
        <w:trPr/>
        <w:tc>
          <w:tcPr>
            <w:tcW w:w="10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16/376,595</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4/5/2019</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11,185,696</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11/30/2021</w:t>
            </w:r>
          </w:p>
        </w:tc>
        <w:tc>
          <w:tcPr>
            <w:tcW w:w="326" w:type="dxa"/>
            <w:tcBorders/>
            <w:vAlign w:val="center"/>
          </w:tcPr>
          <w:p>
            <w:pPr>
              <w:pStyle w:val="TableContents"/>
              <w:bidi w:val="0"/>
              <w:spacing w:before="0" w:after="0"/>
              <w:ind w:left="0" w:right="0" w:hanging="0"/>
              <w:jc w:val="left"/>
              <w:rPr/>
            </w:pPr>
            <w:r>
              <w:rPr/>
              <w:t> </w:t>
            </w:r>
          </w:p>
        </w:tc>
        <w:tc>
          <w:tcPr>
            <w:tcW w:w="4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of a subject's oral cavity or skin while the subject engages in a physical or cognitive exercise in order to enhance a subject's proficiency in the exercise</w:t>
            </w:r>
          </w:p>
        </w:tc>
      </w:tr>
      <w:tr>
        <w:trPr/>
        <w:tc>
          <w:tcPr>
            <w:tcW w:w="10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16/450,915</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6/24/2019</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11,285,325</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3/29/2022</w:t>
            </w:r>
          </w:p>
        </w:tc>
        <w:tc>
          <w:tcPr>
            <w:tcW w:w="326" w:type="dxa"/>
            <w:tcBorders/>
            <w:shd w:fill="CCEEFF" w:val="clear"/>
            <w:vAlign w:val="center"/>
          </w:tcPr>
          <w:p>
            <w:pPr>
              <w:pStyle w:val="TableContents"/>
              <w:bidi w:val="0"/>
              <w:spacing w:before="0" w:after="0"/>
              <w:ind w:left="0" w:right="0" w:hanging="0"/>
              <w:jc w:val="left"/>
              <w:rPr/>
            </w:pPr>
            <w:r>
              <w:rPr/>
              <w:t> </w:t>
            </w:r>
          </w:p>
        </w:tc>
        <w:tc>
          <w:tcPr>
            <w:tcW w:w="4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of a subject's oral cavity or skin while the subject engages in a physical or cognitive exercise in order to enhance the subject's proficiency in the exercise</w:t>
            </w:r>
          </w:p>
        </w:tc>
      </w:tr>
      <w:tr>
        <w:trPr/>
        <w:tc>
          <w:tcPr>
            <w:tcW w:w="10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17/704,051</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3/25/2022</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Pending</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4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Non-invasive neurostimulation of a subject’s oral cavity or skin while the subject engages in a physical or cognitive exercise in order to enhance the subject’s proficiency in the exercise</w:t>
            </w:r>
          </w:p>
        </w:tc>
      </w:tr>
      <w:tr>
        <w:trPr/>
        <w:tc>
          <w:tcPr>
            <w:tcW w:w="10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61/019,061</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1/4/2008</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Expired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4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w:t>
            </w:r>
          </w:p>
        </w:tc>
      </w:tr>
      <w:tr>
        <w:trPr/>
        <w:tc>
          <w:tcPr>
            <w:tcW w:w="10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(Provisional)</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87" w:type="dxa"/>
            <w:tcBorders/>
            <w:vAlign w:val="center"/>
          </w:tcPr>
          <w:p>
            <w:pPr>
              <w:pStyle w:val="TableContents"/>
              <w:bidi w:val="0"/>
              <w:spacing w:before="0" w:after="0"/>
              <w:ind w:left="0" w:right="0" w:hanging="0"/>
              <w:jc w:val="left"/>
              <w:rPr/>
            </w:pPr>
            <w:r>
              <w:rPr/>
              <w:t>​</w:t>
            </w:r>
          </w:p>
        </w:tc>
      </w:tr>
      <w:tr>
        <w:trPr/>
        <w:tc>
          <w:tcPr>
            <w:tcW w:w="10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61/020,265</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1/10/2008</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Expired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4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w:t>
            </w:r>
          </w:p>
        </w:tc>
      </w:tr>
      <w:tr>
        <w:trPr/>
        <w:tc>
          <w:tcPr>
            <w:tcW w:w="10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(Provisional)</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8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U.S. Patent Nos. 8,909,345; 9,020,612; 9,656,078; 9,597,501; 9,597,504; 9,656,069; 10,293,163; 10,328,263; 11,185,696; and 11,285,325, and U.S. Application No. 17/704,051 claim priority to U.S. Patent No. 8,849,407.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U.S. provisional patent application provides the means to establish an early effective filing date for a later filed nonprovisional patent application. Therefore, though the two provisional applications have expired, they establish a priority date for U.S. Patent Nos. 8,909,345; 9,020,612; 9,656,078; 9,597,501; 9,597,504; 9,656,069; 10,293,163; 10,328,263; 11,185,696; and 11,285,325, U.S. Application No. 17/704,041, and any future filings that claim priority. We intend to file additional continuation applications in the United States Patent and Trademark Office, or USPTO, claiming priority to U.S. Provisional Patent Application Nos. 61/019,061 and 61/020,265 to protect other aspects of the PoNS device and related non-invasive neurostimulation techniques.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ANR holds an interest in the Patent Pending Rights pursuant to an exclusive license from the inventors. U.S. Patent Nos. 8,909,345; 9,020,612; 9,656,078; 9,597,501; 9,597,504; 9,656,069; 10,293,163; 10,328,263; 11,185,696; and 11,285,325, and U.S. Application No. 17/704,051 are included in the exclusive license as the exclusive license agreement covers (i) U.S. Patent Application No. 12/348,301 (now U.S. Patent No. 8,849,407) and Provisional Application No. 61/019,061, (ii) any patents issuing therefrom and (iii) any patents claiming priority to U.S. Patent Application No. 12/348,301 or Provisional Application No. 61/019,061, which U.S. Patent Nos. 8,909,345; 9,020,612; 9,656,078; 9,597,501; 9,597,504; 9,656,069; 10,293,163; 10,328,263; 11,185,696 and 11,285,325, and U.S. Application No. 17/704,051 claim priority through such provisional application as well as through Provisional Application 61/020,265.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ANR has agreed that ownership of any improvements, enhancements or derivative works of the Patent Pending Rights that are developed by HMI or ANR shall be owned by HMI, provided that if HMI decides not to patent such improvements, ANR may choose to pursue patent rights independently. Pursuant to the Sublicense Agreement, HMI has agreed to pay ANR royalties equal to 4% of HMI’s revenues collected from the sale of devices covered by the Patent Pending Rights and services related to PoNS Therapy or use of devices covered by the Patent Pending Rights in therapy services. The Sublicense Agreement provides that the sublicense granted by ANR to HMI, if in good standing, shall not be cancelled; limited or impaired in any way should there be a termination of the master license granted by the inventors to ANR, which was acknowledged by the inventors in the Sublicense Agreement. On June 6, 2014, HMI and ANR entered into a second amended and restated sublicense agreement, or the Second Sublicense Agreement, which acknowledges the Reverse Merger (see “Our Corporate History – Acquisition of Helius Medical, Inc and Concurrent Financing” below) and adds us as a party to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license of the Patent Pending Rights is subject to the right of the government of the United States, which funded certain research relating to the development of the PoNS device, to a nonexclusive, non-transferable, irrevocable, paid up license to use the Patent Pending Rights for governmental purposes. In addition, HMI has granted a perpetual, royalty-free license to the Patent Pending Rights back to ANR for non-profit research and development activities, which do not compete with HMI’s business and to produce and derive revenues from devices and services in connection with investigational uses of the PoNS device and related technology.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Company Owned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February 14, 2024, we have filed 36 U.S. patent applications related to various technical and ornamental aspects of the PoNS device: 15 non-provisional patent applications that describe various technical features in the current version device and 21 design patent applications describing various ornamental designs. We are the sole assignee for these 36 U.S. patent filings. In addition to the first issued patent (U.S. Patent No. 9,072,889), the USPTO has issued 14 utility patents and 21 design patents.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our U.S. patents, we have been granted 22 foreign utility patents (nine in Australia, five in Russia, two in Canada, two in Israel, two in Europe (validated in France, Germany, Italy, UK and Spain), one in UK and one in Eurasia, or EA (validated in all eight Eurasian member-states), and 33 foreign design patents (three in Australia, nine in Canada, six in Russia, and fifteen registered community designs in Europe).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we have 11 foreign utility patent applications that are currently pending: three in Europe, two in each of Australia, Canada and Russia and one in each of China and Israel, and one design patent application that is currently pending in Canada.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Currently, we own rights in five trademarks: PoNS, PoNS Therapy, Helius, Helius Medical, and Helius Medical Technologies. We own the rights to the PoNS mark by virtue of an assignment agreement having an effective date of October 27, 2014 and entered into with ANR and the inventors of the PoNS technology. We are also the owner of the rights in the PoNS Therapy, Helius, Helius Medical, and Helius Medical Technologies marks.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the owner of the trademark registrations for the Helius and PoNS Therapy marks in the U.S. as well as the trademark registration for the Helius mark in Canada and the trademark registrations for the PoNS mark in Europe, Israel, and New Zealand. We have also applied for the PoNS trademark in Russia, China and Australia along with the Helius trademark in Australia, and the Helius Medical trademark in the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products under development and our operations are subject to significant government regulation. In the U.S., our products are regulated as medical devices by the FDA and other federal, state, and local regulatory authorities. The following is a general description of the review and marketing authorization process of the FDA for medical devices.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FDA Regulation of Medical Devices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FDA and other U.S. and foreign governmental agencies regulate, among other things, the following activities with respect to medical devices:</w:t>
      </w:r>
    </w:p>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development and manufacturing;</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labeling, content and language of instructions for use and storage;</w:t>
            </w:r>
          </w:p>
        </w:tc>
      </w:tr>
    </w:tbl>
    <w:tbl>
      <w:tblPr>
        <w:tblW w:w="1656" w:type="dxa"/>
        <w:jc w:val="left"/>
        <w:tblInd w:w="0" w:type="dxa"/>
        <w:tblLayout w:type="fixed"/>
        <w:tblCellMar>
          <w:top w:w="28" w:type="dxa"/>
          <w:left w:w="28" w:type="dxa"/>
          <w:bottom w:w="28" w:type="dxa"/>
          <w:right w:w="28" w:type="dxa"/>
        </w:tblCellMar>
      </w:tblPr>
      <w:tblGrid>
        <w:gridCol w:w="124"/>
        <w:gridCol w:w="256"/>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storage and safety;</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sales and distribution;</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pre-market clearance and approval;</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keeping procedures;</w:t>
            </w:r>
          </w:p>
        </w:tc>
      </w:tr>
    </w:tbl>
    <w:tbl>
      <w:tblPr>
        <w:tblW w:w="2751" w:type="dxa"/>
        <w:jc w:val="left"/>
        <w:tblInd w:w="0" w:type="dxa"/>
        <w:tblLayout w:type="fixed"/>
        <w:tblCellMar>
          <w:top w:w="28" w:type="dxa"/>
          <w:left w:w="28" w:type="dxa"/>
          <w:bottom w:w="28" w:type="dxa"/>
          <w:right w:w="28" w:type="dxa"/>
        </w:tblCellMar>
      </w:tblPr>
      <w:tblGrid>
        <w:gridCol w:w="124"/>
        <w:gridCol w:w="256"/>
        <w:gridCol w:w="2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recalls and field safety corrective 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 surveillance, including reporting of deaths or serious injuries and malfunctions that, if they were to recur, could lead to death or serious injury;</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 approval studies; and</w:t>
            </w:r>
          </w:p>
        </w:tc>
      </w:tr>
    </w:tbl>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import and export.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U.S., numerous laws and regulations govern all the processes by which medical devices are brought to market and marketed. These include the Food, Drug, and Cosmetic, or FD&amp;C Act and the FDA’s implementation of regulations, among others.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FDA Review, Clearance and Approval Processes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an exemption applies, each medical device commercially distributed in the U.S. requires either FDA clearance of a 510(k) premarket notification, approval of a premarket approval, or PMA, or approval of a de novo application. Under the FDCA, medical devices are classified into one of three classes—Class I, Class II or Class III— depending on the degree of risk associated with each medical device and the extent of manufacturer and regulatory control needed to ensure its safety and effectiveness. Classification of a device is important because the class to which a device is assigned determines, among other things, the necessity and type of FDA review required prior to marketing the device.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I devices are those for which safety and effectiveness can be assured by adherence to FDA’s “general controls” for medical devices, which include compliance with the applicable portions of the FDA’s Quality System Regulation,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process,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PoNS device is currently regulated as a Class II medical device for use in MS. However, if the FDA requires us to go through a lengthier, more rigorous examination for the PoNS device for balance and gait deficit in stroke, introducing the product for stroke could be delayed or canceled. For example, if the FDA decides that the de novo classification procedures are not the appropriate path to obtain marketing authorizations for the PoNS device in stroke, the FDA may require us to submit a PMA application, which is generally more costly and uncertain and can take from one to three years, or longer, from the time the application is submitted to the FDA until an approval is obtained. Further, even with respect to those future products where a PMA may not be required, we cannot be certain that we will be able to obtain 510(k) clearance with respect to our PoNS device.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510(k) Clearance Process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Before the FDA will accept a 510(k) submission for substantive review, the FDA will first assess whether the submission satisfies a minimum threshold of acceptability through its eSTAR submission form. If the eSTAR does not pass technical screening (i.e., an eSTAR is provided where none of the attachments to a question are relevant to the question, or if an inaccurate response is provided to any question), the submission may be put on an early Technical Screening hold for 180 days, until a complete replacement eSTAR is submitted. An applicant must submit the requested information before the FDA will proceed with additional review of the submission. Once the 510(k) submission is accepted for review, by regulation, the FDA has 90 days to review and issue a determination. As a practical matter,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clearance often takes longer. The FDA may require additional information, including clinical data, to make a determination regarding substantial equivalence.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 novo Classification Process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If a previously unclassified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Times New Roman;Times;serif" w:hAnsi="Times New Roman;Times;serif"/>
          <w:i/>
          <w:sz w:val="20"/>
        </w:rPr>
        <w:t>de novo</w:t>
      </w:r>
      <w:r>
        <w:rPr>
          <w:rFonts w:ascii="Times New Roman;Times;serif" w:hAnsi="Times New Roman;Times;serif"/>
          <w:sz w:val="20"/>
        </w:rPr>
        <w:t xml:space="preserve"> classification procedure. This procedure allows a manufacturer whose novel device is automatically classified into Class III to request classification of its medical device into Class I or Class II on the basis that the device presents low or moderate risk, rather than requiring the submission and approval of a PMA. Prior to the enactment of the Food and Drug Administration Safety and Innovation Act, or FDASIA, in July 2012, a medical device could only be eligible for </w:t>
      </w:r>
      <w:r>
        <w:rPr>
          <w:rFonts w:ascii="Times New Roman;Times;serif" w:hAnsi="Times New Roman;Times;serif"/>
          <w:i/>
          <w:sz w:val="20"/>
        </w:rPr>
        <w:t>de novo</w:t>
      </w:r>
      <w:r>
        <w:rPr>
          <w:rFonts w:ascii="Times New Roman;Times;serif" w:hAnsi="Times New Roman;Times;serif"/>
          <w:sz w:val="20"/>
        </w:rPr>
        <w:t xml:space="preserve"> classification if the manufacturer first submitted a 510(k) pre-market notification and received a determination from the FDA that the device was not substantially equivalent. FDASIA streamlined the </w:t>
      </w:r>
      <w:r>
        <w:rPr>
          <w:rFonts w:ascii="Times New Roman;Times;serif" w:hAnsi="Times New Roman;Times;serif"/>
          <w:i/>
          <w:sz w:val="20"/>
        </w:rPr>
        <w:t>de novo</w:t>
      </w:r>
      <w:r>
        <w:rPr>
          <w:rFonts w:ascii="Times New Roman;Times;serif" w:hAnsi="Times New Roman;Times;serif"/>
          <w:sz w:val="20"/>
        </w:rPr>
        <w:t xml:space="preserve"> classification pathway by permitting manufacturers to request </w:t>
      </w:r>
      <w:r>
        <w:rPr>
          <w:rFonts w:ascii="Times New Roman;Times;serif" w:hAnsi="Times New Roman;Times;serif"/>
          <w:i/>
          <w:sz w:val="20"/>
        </w:rPr>
        <w:t>de novo</w:t>
      </w:r>
      <w:r>
        <w:rPr>
          <w:rFonts w:ascii="Times New Roman;Times;serif" w:hAnsi="Times New Roman;Times;serif"/>
          <w:sz w:val="20"/>
        </w:rPr>
        <w:t xml:space="preserve"> classification directly without first submitting a 510(k) pre-market notification to the FDA and receiving a not substantially equivalent determination. Under FDASIA, the FDA was required to classify the device within 120 days following receipt of the </w:t>
      </w:r>
      <w:r>
        <w:rPr>
          <w:rFonts w:ascii="Times New Roman;Times;serif" w:hAnsi="Times New Roman;Times;serif"/>
          <w:i/>
          <w:sz w:val="20"/>
        </w:rPr>
        <w:t>de novo</w:t>
      </w:r>
      <w:r>
        <w:rPr>
          <w:rFonts w:ascii="Times New Roman;Times;serif" w:hAnsi="Times New Roman;Times;serif"/>
          <w:sz w:val="20"/>
        </w:rPr>
        <w:t xml:space="preserve"> application. If the manufacturer sought reclassification into Class II, the manufacturer was to include a draft proposal for special controls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FDA granted </w:t>
      </w:r>
      <w:r>
        <w:rPr>
          <w:rFonts w:ascii="Times New Roman;Times;serif" w:hAnsi="Times New Roman;Times;serif"/>
          <w:i/>
          <w:sz w:val="20"/>
        </w:rPr>
        <w:t>de novo</w:t>
      </w:r>
      <w:r>
        <w:rPr>
          <w:rFonts w:ascii="Times New Roman;Times;serif" w:hAnsi="Times New Roman;Times;serif"/>
          <w:sz w:val="20"/>
        </w:rPr>
        <w:t xml:space="preserve"> classification for the PoNS device for gait deficit in MS, which resulted in Class II classification. In order to be placed in Class II, the FDA required reasonable assurance of safety and effectiveness of the PoNS device. Under Class II, general controls (e.g., premarket notification) and special controls (e.g., specific performance testing) are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Clinical Trials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Clinical trials are typically required to support a PMA and are sometimes required to support a 510(k) or de novo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as defined by the FDA, to human health, the FDA requires the device sponsor to submit an IDE application to the FDA, which must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If the device is considered a “non-significant risk,” IDE submission to FDA is not required. Instead, only approval from the Institutional Review Board, or IRB, overseeing the investigation at each clinical trial site is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 keeping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after a trial begins, the sponsor, the FDA or the IRB could suspend or terminate a clinical trial at any time for various reasons, including a belief that the risks to study subjects outweigh the anticipated benefits. Even if a clinical trial is completed, there can be no assurance that the data generated during a clinical study will meet the safety and effectiveness endpoints or otherwise produce results that will lead the FDA to grant marketing clearance or approval.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Pervasive and Continuing U.S. Food and Drug Administration and Healthcare Regulation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After a device is cleared or approved for marketing, numerous and pervasive regulatory requirements continue to apply. These include:</w:t>
      </w:r>
    </w:p>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establishment, registration and device listing with the FDA;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QSR requirements, which require manufacturers, including third-party manufacturers, to follow stringent design, testing, control, documentation and other quality assurance procedures during all aspects of the design and manufacturing process;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labeling regulations and FDA prohibitions against the promotion of investigational products, or ‘‘off-label’’ uses of cleared or approved products;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requirements related to promotional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clearance or approval of product modifications to 510(k)-cleared devices that could significantly affect safety or effectiveness or that would constitute a major change in intended use of one of our cleared devices;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medical device reporting regulations, which require that a manufacturer report to the FDA if a device it markets may have caused or contributed to a death or serious injury, or has malfunctioned and the device or a similar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134" w:type="dxa"/>
        <w:jc w:val="left"/>
        <w:tblInd w:w="0" w:type="dxa"/>
        <w:tblLayout w:type="fixed"/>
        <w:tblCellMar>
          <w:top w:w="28" w:type="dxa"/>
          <w:left w:w="28" w:type="dxa"/>
          <w:bottom w:w="28" w:type="dxa"/>
          <w:right w:w="28" w:type="dxa"/>
        </w:tblCellMar>
      </w:tblPr>
      <w:tblGrid>
        <w:gridCol w:w="124"/>
        <w:gridCol w:w="109"/>
        <w:gridCol w:w="9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device that it markets would be likely to cause or contribute to a death or serious injury, if the malfunction were to recur;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FDA’s recall authority, whereby the agency can order device manufacturers to recall from the market a product that is in violation of governing laws and regulations;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post-market surveillance activities and regulations, which apply when deemed by the FDA to be necessary to protect the public health or to provide additional safety and effectiveness data for the device.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Advertising and promotion of medical devices, in addition to being regulated by the FDA, are also regulated by the FTC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promotional materials or training constitutes promotion of an unapproved or uncleared use, it could request that modification of promotional materials or subject a company to regulatory or enforcement actions. It is also possible that other federal, state or foreign enforcement authorities might take action if they consider promotional or training materials to constitute promotion of an unapproved or uncleared use, which could result in significant fines or penalties under other statutory authorities, such as laws prohibiting false claims for reimbursement.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Healthcare providers, physicians, and third party payers play a primary role in the recommendation and use of our current products and will do so for any future products we commercialize. Arrangements with third party payers, healthcare providers and physicians expose us to broadly applicable fraud and abuse and other healthcare laws and regulations that may constrain the business or financial arrangements and relationships through which we market, sell and distribute products. In the United States, we are subject to various federal and state anti-fraud and abuse laws, including, without limitation, the federal health care program Anti-Kickback Statute, the federal civil False Claims Act, and the health care fraud provisions of the federal Health Insurance Portability and Accountability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Anti-Kickback Statute makes it illegal for any person, including a device manufacturer (or a party acting on its behalf), to knowingly and willfully solicit, receive, offer or pay any remuneration, directly or indirectly, in cash or in kind, that is intended to induce or reward referrals, including the purchase, lease, or order , or arranging for or recommending, any good or service, including a device, for which payment may be made under a federal healthcare program, such as Medicare or Medicaid. The term “remuneration” expressly includes kickbacks, bribes, or rebates and also has been broadly interpreted to include anything of value. There are a number of statutory exceptions and regulatory safe harbors protecting certain business arrangements from prosecution under the Anti-Kickback Statute, however, those exceptions and safe harbors are drawn narrowly, and there may be no available exception or safe harbor for many common business activities, such as reimbursement support programs, educational and research grants, or charitable donations. Practices that involve remuneration to those who prescribe, purchase, or recommend medical devices, including discounts, providing items or services for free or engaging such individuals as consultants, advisors, or speakers, may be subject to scrutiny if they do not fit squarely within an exception or safe harbor and would be subject to a facts and circumstances analysis to determine compliance with the Anti-Kickback Statute. Violations of this law are punishable by up to ten years in prison, criminal fines, administrative civil money penalties, damages, disgorgement and exclusion from participation in federal healthcare programs. In addition, a person or entity does not need to have actual knowledge of the statute or specific intent to violate it. Various states have adopted laws similar to the Anti-Kickback Statute, and some of these state laws may be broader in scope in that some of these state laws extend to all payors and may not contain safe harbors.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federal civil False Claims Act imposes civil penalties, including through civil whistleblower or qui tam actions, against individuals or entities (including manufacturers) for, among other things, knowingly presenting, or causing to be presented, false or fraudulent claims for payment of government funds or knowingly presenting or causing to be presented a false statement or record material to payment of a false claim or knowingly and improperly avoiding, decreasing or concealing an obligation to pay money to the federal government. Penalties for a False Claims Act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violation include three times the actual damages sustained by the government, plus significant mandatory civil penalties for each separate false claim and the potential for exclusion from participation in federal healthcare programs.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Anti-Kickback Statute also are deemed false or fraudulent claims for purposes of the False Claims Act. Our marketing and activities relating to the reporting of wholesaler or estimated retail prices for our products and other information affecting federal, state and third-party reimbursement for our products, and the sale and marketing of our product and any future product candidates, are subject to scrutiny under this law. Conduct that violates the False Claims Act also may implicate various federal criminal statutes. Various states have adopted laws similar to the False Claims Act, and many of these state laws are broader in scope and apply to all payors, and therefore, are not limited to only those claims submitted to the federal government.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federal Health Insurance Portability and Accountability Act (“HIPAA”) imposes criminal liability for, among other things, knowingly and willfully executing, or attempting to execute, a scheme to defraud any healthcare benefit program, including private third-party payers, or knowingly and willfully falsifying, concealing or covering up a material fact or making any materially false, fictitious or fraudulent statement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federal Physician Payment Sunshine Act, implemented as the Open Payments Program, requires certain manufacturers of drugs, devices, biologics, and medical supplies for which payment is available under Medicare, Medicaid or the Children’s Health Insurance Program (with certain exceptions) to report annually to the Centers for Medicare and Medicaid Services information related to payments and other transfers of value, directly or indirectly, to physicians, physician assistants, nurse practitioners, clinical nurse specialists, certified nurse anesthetists, and certified nurse midwives, and teaching hospitals, as well as ownership and investment interests held by physicians and their immediate family members.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manufacturing processes associated with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design history file, device history records, and complaint files. As a manufacturer, we are subject to periodic scheduled or unscheduled inspections by the FDA. Any failure to maintain compliance with the QSR requirements could result in the shut-down of, or restrictions on, manufacturing operations and the recall or seizure of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FDA has broad regulatory compliance and enforcement powers. If the FDA determines that a company has failed to comply with applicable regulatory requirements, it can take a variety of compliance or enforcement actions, which may result in any of the following sanctions:</w:t>
      </w:r>
    </w:p>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untitled letters, warning letters, fines, injunctions, consent decrees and civil penalties;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unanticipated expenditures to address or defend such actions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customer notifications for repair, replacement, refunds;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recall, detention or seizure of our products;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restrictions or partial suspension or total shutdown of production;</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refusing or delaying our requests for 510(k) clearance or PMA approval of new products or modified products;</w:t>
            </w:r>
          </w:p>
        </w:tc>
      </w:tr>
    </w:tbl>
    <w:tbl>
      <w:tblPr>
        <w:tblW w:w="2316" w:type="dxa"/>
        <w:jc w:val="left"/>
        <w:tblInd w:w="0" w:type="dxa"/>
        <w:tblLayout w:type="fixed"/>
        <w:tblCellMar>
          <w:top w:w="28" w:type="dxa"/>
          <w:left w:w="28" w:type="dxa"/>
          <w:bottom w:w="28" w:type="dxa"/>
          <w:right w:w="28" w:type="dxa"/>
        </w:tblCellMar>
      </w:tblPr>
      <w:tblGrid>
        <w:gridCol w:w="124"/>
        <w:gridCol w:w="256"/>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restrictions;</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withdrawing 510(k) clearances or PMA approvals that have already been granted;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refusal to grant export approval for our products; or</w:t>
            </w:r>
          </w:p>
        </w:tc>
      </w:tr>
    </w:tbl>
    <w:tbl>
      <w:tblPr>
        <w:tblW w:w="2256" w:type="dxa"/>
        <w:jc w:val="left"/>
        <w:tblInd w:w="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criminal prosecution.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U.S. Healthcare Reform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there has been significant interest in implementing cost-containment programs to limit the growth of government-paid healthcare costs, including price controls and restrictions on reimbursement. Because private payers often follow Medicare and Medicaid coverage policy and payment limitations in setting their own reimbursement rates, any reduction in reimbursement that results from federal legislation or regulation may result in a similar reduction in payments from private payers. We expect to experience pricing pressures in connection with the sale of our due to the trend toward managed healthcare, the increasing influence of health maintenance organizations, and additional legislative and regulatory measures.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legislative changes in the United States include the Affordable Care Act (ACA), which intended to broaden access to health insurance, reduced or constrained the growth of healthcare spending, enhanced remedies against healthcare fraud and abuse, added new transparency requirements for healthcare and health insurance industries, and imposed additional health policy reforms. We expect that additional federal, state, and foreign healthcare reform measures will be adopted in the future, any of which could limit the amounts that federal, state, and foreign governments will pay for healthcare products and services, which could result in limited coverage and reimbursement of, reduced demand for, or additional pricing pressures on our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Health Canada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After a medical device has been approved for commercial use in Canada, there are a number of Health Canada requirements that must be adhered to including but not limited to the following:</w:t>
      </w:r>
    </w:p>
    <w:tbl>
      <w:tblPr>
        <w:tblW w:w="2511" w:type="dxa"/>
        <w:jc w:val="left"/>
        <w:tblInd w:w="0" w:type="dxa"/>
        <w:tblLayout w:type="fixed"/>
        <w:tblCellMar>
          <w:top w:w="28" w:type="dxa"/>
          <w:left w:w="28" w:type="dxa"/>
          <w:bottom w:w="28" w:type="dxa"/>
          <w:right w:w="28" w:type="dxa"/>
        </w:tblCellMar>
      </w:tblPr>
      <w:tblGrid>
        <w:gridCol w:w="124"/>
        <w:gridCol w:w="256"/>
        <w:gridCol w:w="2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license renewals;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labeling regulations, which prohibit “misbranded” devices from entering the market, as well as prohibit on the promotion of products for unapproved or “off-label” use and impose other restrictions on labeling including truthfulness and accuracy;</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assessment of product modifications for significant changes that would require license amendments;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 surveillance including medical device reporting, which requires manufacturers report to Health Canada if their device may have caused or contributed to a death or serious injury, or malfunctioned in a way that would likely cause or contribute to a death or serious injury if it were to recur; and</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post-approval restrictions or conditions.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European Union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submitted an application for a CE certification of the PoNS device with our UK based notified body in December 2018. </w:t>
      </w:r>
      <w:r>
        <w:rPr>
          <w:rFonts w:ascii="Times New Roman;Times;serif" w:hAnsi="Times New Roman;Times;serif"/>
          <w:color w:val="231F20"/>
          <w:sz w:val="20"/>
        </w:rPr>
        <w:t>In August 2019, we withdrew our</w:t>
      </w:r>
      <w:r>
        <w:rPr>
          <w:rFonts w:ascii="Times New Roman;Times;serif" w:hAnsi="Times New Roman;Times;serif"/>
          <w:sz w:val="20"/>
        </w:rPr>
        <w:t xml:space="preserve"> application for the CE certification conformity process procedure due to notified body activities being delayed by Brexit and the upcoming medical devices regulation changes. We have engaged G-MED NA as our notified body and will reconsider submitting to the EU when conditions stabilize. The successful completion of this review would result in CE certification of the PoNS device in the EU, which now excludes the UK. Some EU member states have additional notification requirements that we expect to satisfy before we launch our PoNS Therapy in those member states. Once the PoNS device is placed into the EU market, post market requirements apply including but not limited to:</w:t>
      </w:r>
    </w:p>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the labeling promotes only intended use(s) of the device which have been certified;</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assessment of product modifications for significant changes may require license amendments;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 surveillance including vigilance reporting, which requires manufacturers report to authorities if our PoNS device caused or contributed to a death or serious injury, or malfunctioned in a way that would likely cause or contribute to a death or serious injury if it were to recur; and</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post-approval restrictions or conditions.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Australia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submitted our application for marketing authorization to the TGA during the third quarter of 2019.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indicated for short term use by healthcare professionals as an adjunct to a therapeutic exercise program to improve balance and gait. PoNS is not intended to be used alone without an exercise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Data Privacy and Security Laws; Breaches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Medical device companies may be subject to U.S. federal and state health information privacy, security and data breach notification laws, which may govern the collection, use, disclosure and protection of health-related and other personal information. The Health Insurance Portability and Accountability Act of 1996, or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The FTC has the power to enforce promises as it interprets them, and events that we cannot fully control, such as data breaches, may be result in FTC enforcement. Enforcement by the FTC under the FTC Act can result in civil penalties or enforcement actions.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certain state laws govern the privacy and security of health information in certain circumstances, some of which may be more stringent, broader in scope or offer greater individual rights with respect to PHI, than HIPAA, and many of which differ from each other, thus complicating compliance efforts. Failure to comply with these laws, where applicable, can result in the imposition of significant civil and/or criminal penalties and private litigation. For example, California enacted the California Consumer Privacy Act, as amended by the California Privacy Rights Act (“CCPA”) which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certain data breaches that is expected to increase data breach litigation. The amendments introduced by the CPRA went effect on January 1, 2023, and new implementing regulations continue to be introduced by the California Privacy Protection Agency, a dedicated California privacy regulator. Failure to comply with the CCPA may result in, among other things, significant civil penalties and injunctive relief, or statutory or actual damages. In addition to the CCPA, numerous other states’ legislatures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considering similar laws that will require ongoing compliance efforts and investment. For example, Virginia, Colorado, Utah, Indiana, Iowa, Tennessee, Montana, Texas, and Connecticut have enacted privacy laws similar to the CCPA that impose new obligations or limitations in areas affecting our business and we continue to assess the impact of these state legislation, on our business as additional information and guidance becomes available.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European Union, the General Data Protection Regulation, including as implemented in the UK (collectively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pseudonymized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for the most serious breaches of up to €20 million or up to 4% of the total worldwide annual turnover of the preceding financial year, whichever is higher, and other administrative penalties.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regard to transfer of personal data, the GDPR restricts the ability of companies to transfer personal data from the EU to the U.S. and other countries, which may adversely affect our ability to transfer personal data or otherwise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In July 2023, the European Commission adopted its adequacy decision for the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is using the EU Standard Contractual Clauses as approved by the European Commission in June 2021. In order to use the EU Standard Contractual Clauses mechanism, the exporter and the importer must ensure that the importer may guarantee a level of personal data protection in the importing country’s level of protection must be adequate that is essentially equivalent to that of the EEA. Compliance with EU data transfer obligations involves conducting transfer impact assessments, which includes documenting detailed analyses of data access and protection laws in the countries in which data importers are located, which can be costly and time-consuming.  Data importers must also expend resources in analyzing their ability to comply with transfer obligations, including implementing new safeguards and controls to further protect personal data. A lack of valid transfer mechanisms for GDPR-covered data could increase exposure to enforcement actions and may affect our business operations and require commercial cost (including potentially limiting our ability to collaborate/work with certain third parties and/or requiring an increase in our data processing capabilities in the EU/UK). Further, the European/UK data protection laws (including laws on data transfers) may also be updated/revised, accompanied by new guidance and/or judicial/regulatory interpretations, which could entail further impacts on our compliance efforts and increased cost.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other countries outside of Europe/UK have enacted or are considering enacting similar cross-border data transfer restrictions and laws requiring local data residency, which could increase the cost and complexity of delivering our services and operating our business. The type of challenges we face in Europe/UK will likely also arise in other jurisdictions that adopt laws similar in construction to the GDPR or regulatory frameworks of equivalent complexity.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Corporate History Highlights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Formation and Reincorporation</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We were originally incorporated in British Columbia, Canada on March 13, 2014 under the British Columbia Business Corporations Act, or the BCBCA, as “0996445 B.C. Ltd.” On March 25, 2014, and amended on April 8, 2014, we entered into an arrangement agreement with Boomerang Oil, Inc. (formerly known as 0922327 B.C. Ltd.) and 0995162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B.C. Ltd. to reorganize the business structure of such three entities in such a manner which would allow Boomerang Oil, Inc. to spin us out to become an independent entity that is a reporting issuer in Canada and for us to complete a reverse take-over of 0995162 B.C. Ltd. </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On May 23, 2014, we changed our name to “Helius Medical Technologies, Inc.” and filed articles of continuation with the Wyoming Secretary of State office to reincorporate from being a corporation governed by the BCBCA to a corporation governed by the Wyoming Business Corporation Act. On July 20, 2018, we reincorporated from the state of Wyoming to the state of Delaware.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Acquisitions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13, 2014, we acquired NeuroHabilitation Corporation (“NHC”) and on December 21, 2018, NHC changed its name to Helius Medical, Inc. HMI is our operating subsidiary in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30, 2019, we acquired Heuro, a company incorporated under the federal laws of Canada. Heuro is an indirect wholly owned subsidiary of HMC, a company incorporated under the federal laws of Canada. HMC is our operating subsidiary in Canada.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240"/>
        <w:ind w:left="0" w:right="0" w:hanging="0"/>
        <w:jc w:val="left"/>
        <w:rPr/>
      </w:pPr>
      <w:r>
        <w:rPr>
          <w:rFonts w:ascii="Times New Roman;Times;serif" w:hAnsi="Times New Roman;Times;serif"/>
          <w:sz w:val="20"/>
        </w:rPr>
        <w:t>Our principal executive offices are located at 642 Newtown Yardley Road, Suite 100, Newtown, PA 18940 and our telephone number is 215-944-6100. We maintain a corporate webs</w:t>
      </w:r>
      <w:hyperlink r:id="rId6">
        <w:r>
          <w:rPr>
            <w:rStyle w:val="InternetLink"/>
            <w:rFonts w:ascii="Times New Roman;Times;serif" w:hAnsi="Times New Roman;Times;serif"/>
            <w:b w:val="false"/>
            <w:i w:val="false"/>
            <w:caps w:val="false"/>
            <w:smallCaps w:val="false"/>
            <w:sz w:val="20"/>
          </w:rPr>
          <w:t>ite at www.helius</w:t>
        </w:r>
      </w:hyperlink>
      <w:r>
        <w:rPr>
          <w:rFonts w:ascii="Times New Roman;Times;serif" w:hAnsi="Times New Roman;Times;serif"/>
          <w:sz w:val="20"/>
        </w:rPr>
        <w:t>medical.com.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Form 10-K. Additionally, the SEC maintains a website that contains annual, quarterly, and current reports, proxy statements, and other information that issuers (including us) file electronically with the SEC. The SEC’s website address is http://www.sec.gov.</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neurotechnology company focused on neurological wellness through the development, licensing or acquisition of non-implantable technologies targeted at reducing symptoms of neurological disease or trauma, our human capital is important to the long-term success of our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Our People</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our diverse workforce is comprised of engaged individuals with appropriate qualifications and competencies to support our growth. Our senior management team has an average of over 25 years of experience in the health sciences industry with recognized leadership expertise in their functional areas.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2023, we had 22 full-time employees, of which 20 are located in the United States and 2 are located in Canada. None of our employees were covered by collective bargaining agreements. We have not experienced any interruptions of operations due to disputes with our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Talent Acquisition, Development and Retention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Hiring, developing, and retaining high-performing employees is important to our operations and we are focused on creating experiences that foster growth, performance and retention. Retaining and acquiring the right talent in this competitive environment, particularly at speed and scale, will continue to be a priority. Our workforce reflects talent from diverse perspectives.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Compensation, Benefits, Safety and Wellness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offering market competitive salaries and wages, we offer comprehensive health benefits to eligible employees.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4" w:name="ITEM1ARISKFACTORS_364857"/>
      <w:bookmarkStart w:id="35" w:name="_56c71e9a_73e3_4ef2_a187_bcb4992e4a92"/>
      <w:bookmarkStart w:id="36" w:name="ITEM1ARISKFACTORS_364857"/>
      <w:bookmarkStart w:id="37" w:name="_56c71e9a_73e3_4ef2_a187_bcb4992e4a92"/>
      <w:bookmarkEnd w:id="36"/>
      <w:bookmarkEnd w:id="37"/>
    </w:p>
    <w:tbl>
      <w:tblPr>
        <w:tblW w:w="2552" w:type="dxa"/>
        <w:jc w:val="left"/>
        <w:tblInd w:w="0" w:type="dxa"/>
        <w:tblLayout w:type="fixed"/>
        <w:tblCellMar>
          <w:top w:w="0" w:type="dxa"/>
          <w:left w:w="0" w:type="dxa"/>
          <w:bottom w:w="0" w:type="dxa"/>
          <w:right w:w="0" w:type="dxa"/>
        </w:tblCellMar>
      </w:tblPr>
      <w:tblGrid>
        <w:gridCol w:w="976"/>
        <w:gridCol w:w="1576"/>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1A.</w:t>
            </w:r>
          </w:p>
        </w:tc>
        <w:tc>
          <w:tcPr>
            <w:tcW w:w="15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 investment in our securities has a high degree of risk. Before you invest you should carefully consider the risks and uncertainties described below and the other information in this Form 10-K. Any of the risks and uncertainties set forth herein could materially and adversely affect our business, results of operations and financial condition, which in turn could materially and adversely affect the trading price or value of our securities. Additional risks not currently known to us or which we consider immaterial based on information currently available to us may also materially adversely affect us. As a result, you could lose all or part of your investment.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Financial Position and Need for Capital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substantial net losses since our inception and anticipate that we will continue to incur substantial net losses for the foreseeable future. We may never achieve or sustain profitability.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incurred substantial net losses since our inception. For the years ended December 31, 2023 and 2022, we incurred a net loss of $8.9 million and $14.1 million, respectively, and used cash in operating activities of $10.4 million and $14.3 million, respectively. We have an accumulated deficit of $160.0 million as of December 31, 2023. Our losses have resulted primarily from costs incurred in connection with our design, manufacturing and development activities, research and development activities, building our commercial infrastructure, stock-based compensation, legal, advertising, marketing and investor relations, and general and administrative expenses associated with our operations. Although we have received a medical device license from Health Canada to market the PoNS device in Canada, marketing authorization from the FDA for the sale of our PoNS device in the U.S. and market authorization from the TGA in Australia, we expect to continue to incur substantial losses for the foreseeable future as we continue to expand our commercialization efforts.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will require additional financing to carry out our plan of operations and if we are unable to obtain such financing, our business may fail.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2023, we generated approximately $0.6 million in revenue from the commercial sales of products in the United States and Canada. Because we have generated limited revenues from commercialization, our operations to date have been principally financed through public and private offerings of our common stocks, warrants and convertible debt and exercises of options and warrants. There are a number of conditions that we must satisfy before we will be able to generate sufficient revenue to fund our operations, including but not limited to the recruitment of patients for treatment, and demonstration of effectiveness sufficient to generate commercial orders by customers for our product.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raise substantial doubt about our ability to continue as a going concern through at least 12 months from the date of this Form 10-K. While we had $5.2 million of cash as of December 31, 2023, we do not currently have sufficient resources to accomplish all of the above conditions necessary for us to generate sufficient revenues to achieve profitability, and we will require additional financing to fund our operations beyond the second quarter of 2024. There is no guarantee that such funding will be available at all or in sufficient amounts to satisfy our required expenditures.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financing as needed, we may be forced to reduce the scope of our operations and planned capital expenditures or sell certain assets, including intellectual property, and we may be forced to cease or wind down operations, seek protection under the provisions of the U.S. Bankruptcy Code, or liquidate and dissolve our company, which would have a material adverse effect on the value of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by issuing securities or through debt financings or licensing arrangements may cause significant dilution to our existing stockholders, restrict our operations or require us to relinquish rights to our technologies or product on terms unfavorable to us.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operations to date have principally been financed by public and private offerings of our common stock warrants and convertible debt and exercises of warrants and options. Until we can generate significant revenue from product sales, if ever, we expect to finance our operations through the sale of equity, debt financings, or other capital sources, including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potential collaborations with other companies or other strategic transactions. 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future revenue streams, research programs or product candidates, or otherwise grant licenses on terms that are not favorable to us. If we are unable to raise additional capital when needed, we may be required to delay, limit, reduce or terminate our product development or commercialization efforts, or grant rights to develop and market potential future product candidates that we would otherwise prefer to develop and market ourselves. Any of these events could adversely affect our ability to achieve our product development and commercialization goals and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independent registered public accounting firm has included an explanatory paragraph relating to our ability to continue as a going concern in its report on our audited financial statements. We may be unable to continue to operate without the threat of liquidation for the foreseeable future.</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our management’s assessment, our report from our independent registered public accounting firm for the fiscal year ended December 31, 2023 includes an explanatory paragraph stating that our recurring losses from operations and net capital deficiency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Future reports from our independent registered public accounting firm may also contain statements expressing substantial doubt about our ability to continue as a going concern. We believe our existing capital resources will be sufficient to fund our operations through the second quarter of 2024. We also expect our expenses to increase as we continue to conduct trials of PoNS Therapy® and as we pursue further regulatory approvals, and maintain, expand and protect our intellectual property portfolio. There can be no assurance that we will be successful in raising additional capital or that such capital, if available, will be on terms that are acceptable to us. If we are unable to continue as a going concern, we may have to liquidate our assets and may receive less than the value at which those assets are carried on our consolidated financial statements, and investors will likely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Global macroeconomic instability could adversely affect our ability to raise additional financing.</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Generally, global macroeconomic conditions remain uncertain, largely due to the effects of geopolitical conflicts in the Ukraine and in the Middle East, disruptions in the banking system and financial markets, increased inflation and sustained high interest rates. The general economic and capital market conditions, both in the U.S.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Development and Commercialization of our Product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currently only have one product which is approved in the U.S. only for treatment of gait deficit, for MS and otherwise only in Canada and Australia.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currently have no products CE certified and CE marked for commercial distribution in Europe, or in any other country outside of Canada, the U.S. and Australia. In the U.S. we have not received marketing authorization for use of the PoNS device other than for MS. In addition, the FDA has previously rejected our de novo application for marketing authorization of the PoNS device for mmTBI. In Europe, we are developing the PoNS device for use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neuromodulation market, but we cannot begin marketing and selling the device in Europe until we obtain applicable CE certificate of conformity from a notified body in the EU after successful completion of a conformity assessment procedure. The process of obtaining regulatory authorization and/or certification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and/or certification of a product or rejection of a regulatory application altogether.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developing the PoNS device for other indications, or symptoms caused by neurological disorders, and will be required to commit our own resources to fund development of any other indications and each would require separate regulatory clearance, certification or other marketing authorization in other territories. The costs of such development efforts and regulatory clearance, certification or other marketing authorization could be substantial and would likely require additional funding, and each such indication would be subject to the same foregoing risks and uncertainties for FDA clearance/authorization.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Obtaining FDA marketing authorization is expensive and uncertain, generally takes several years, and generally requires detailed and comprehensive scientific and clinical data. Notwithstanding the expense, these efforts may never result in FDA authorization for commercial distribution. Even if we were to obtain regulatory authorization, it may not be for the uses we believe are important or commercially attractive, in which case we would not be permitted to market our product for those uses.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PoNS technology is a novel form of neurostimulation therapy, and the medical community tends not to adopt new therapies very rapidly. If physicians elect not to prescribe the PoNS Therapy, we will be unable to generate significant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continued deployment strategy depends on physicians prescribing the PoNS Therapy to patients with relevant neurological disorders and physical therapists being trained in the supervision of patients’ use of our treatment. Novel technologies are usually more slowly adopted by the medical community, as the medical community tends to be very conservative. Physicians may elect not to use our products for a variety of reasons, including:</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or perceived lack of evidence supporting the beneficial characteristics of our technology;</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long-term data on the use of PoNS technology for therapy;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physicians’ perception that there are insufficient advantages of our product relative to currently available products or compared to supervised therapeutic exercise alone;</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effectively train physical therapists in the supervision of patients’ use of PoNS Therapy;</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hospitals may choose not to purchase our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purchasing organizations may choose not to contract for our product, thus limiting availability of our products to hospital purchasers;</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coverage or adequate payment from managed care plans and other third-party payers for our product;</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Medicare, Medicaid or other third-party payers may limit or not permit reimbursement for our product; and</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or improvement of competitive products.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medical community is slow to adopt, or declines to adopt our PoNS device for neurostimulation therapy, we will not be able to generate significant revenues which would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There is limited market awareness of our product, and the neuromodulation market is new and uncertain.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is currently limited market awareness of our product. In order to succeed, we must, among other things, increase market awareness of our PoNS Therapy and expand our sales and marketing strategy. If we fail in any of these endeavors or experience delays in pursuing them, we will not generate revenues as planned and will need to curtail operations or seek additional financing earlier than otherwise anticipated. In addition, if the neuromodulation market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fails to become more integrated in neurological therapy, it could have a materially adverse effect on our business and financial 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significant competition in an environment of rapid technological change, and our competitors may develop devices or products that are more advanced or more effective than ours are which may adversely affect our financial condition and our ability to successfully market the PoNS device.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neurostimulation market involves rapidly developing technology. Our competitors in the industry are predominantly large companies with longer operating histories, with significantly easier access to capital and other resources and an established product pipeline than us. The combined clinical research and product development done by the industry, including by us and all of our competitors, is foundational, and neurostimulation has slowly become integrated into neurological therapy. This foundation has allowed new and innovative neurostimulation companies to enter the market. New developments occur rapidly, and we anticipate that we will face increasing competition as new companies enter our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can be no assurance that we will be able to establish ourselves in the neurostimulation market, or, if established, that we will be able to maintain our market position. Our commercial opportunity may be reduced if our competitors develop new or improved products that are more convenient, more effective or less expensive than our product is. Additionally, technologies developed by our competitors may render the PoNS device uneconomical or obsolete.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and will continue to be, dependent in significant part on outside scientists and third-party research institutions for our research and development in order to be able to commercialize our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rely, and will continue to rely, on third-party research institutions, collaborators and consultants. Such third-party research institutions, collaborators and consultants may determine to cease providing services to us at any time, which would delay our product development and commercialization efforts.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third parties for the manufacture and distribution of our product and the loss of our third-party manufacturer and distributor could harm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depend on our third-party contract manufacturing partner to manufacture and supply our PoNS device for clinical and commercial purposes. Additionally, we depend on a different third-party distribution partner to warehouse and ship 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have experienced and could continue to experience difficulties in securing long-lead time components, achieving volume production, quality control and quality assurance or suffer shortages of qualified personnel, or fail to follow and remain in compliance with the FDA-mandated Quality System Regulations, or QSR, compliance which is required for all medical devices, or fail to document their compliance to the QSR, any of which could result in their inability to manufacture sufficient quantities of our commercially available product to meet market demand or lead to significant delays in the availability of materials for our product and/or FDA enforcement actions against them and/or us.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our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currently in the process of transitioning our manufacturing functions to a new contract manufacturer and any delays in the manufacturing process as a result of this transition could harm our business.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third quarter of 2023, the Company began implementing the transition of the manufacturing of PoNS device controllers and mouthpieces from its third-party contract manufacturing partner, Key Tronic Corporation, to Minnetronix, Inc. The Company expects this transition to be fully completed by mid-2024, but it is possible that completing the transition could create delays or disruptions in the manufacturing process, or could affect the performance specifications of our PoNS device. Any delays or disruptions in the manufacturing of our PoNS device during the completion of this transition could negatively impact our business.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occurrence of any delay, assurance of quality standards and applicable regulatory requirements and any terms that our new contract manufacturer may require us, could harm our ability to meet the demand for our products in a timely and cost-effective manner, which could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Risks Related to Intellectual Property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intellectual property protection is inadequate, competitors may gain access to our technology and undermine our competitive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regard our intended and future intellectual property as important to our success, and we intend to rely on patent law to protect our proprietary rights. Despite our precautions, unauthorized third parties may copy certain portions of our devices or products or reverse engineer or obtain and use information that we regard as proprietary. We may seek additional patents in the future. We do not know if any future patent application will be issued with the scope of the claims we seek, if at all or whether any patents we receive will be challenged or invalidated. Thus, we cannot assure you that any intellectual property rights that we may receive can be successfully asserted in the future or that they will not be invalidated, circumvented or challenged. In addition, the laws of some foreign countries do not protect proprietary rights to the same extent, as do the laws of the U.S. Our means of protecting any proprietary rights we may receive in the U.S. or abroad may not be adequate and competitors may independently develop a similar technology. Any failure to protect our proprietary information and any successful intellectual property challenges or infringement proceedings against us could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various litigation claims and legal proceedings, including intellectual property litigation, such as patent infringement claims, which could adversely affect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as well as certain of our directors and officers, may be subject to claims or lawsuits.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 Any of these outcomes could cause our business, financial performance and cash position to be negatively impacted.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our commercial success will also depend, in part, on not infringing on the patents or proprietary rights of others. There can be no assurance that the technologies and products used or developed by us will not infringe such rights. If such infringement occurs and we are not able to obtain a license from the relevant third party, we will not be able to continue the development, manufacture, use, or sale of any such infringing technology or product. There can be no assurance that necessary licenses to third-party technology will be available at all or on commercially reasonable terms. In some cases, litigation or other proceedings may be necessary to defend against or assert claims of infringement or to determine the scope and validity of the proprietary rights of third parties. Any potential litigation could result in substantial costs to, and diversion of, our resources and could have a material and adverse impact on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 adverse outcome in any such litigation or proceeding could subject us to significant liabilities, require us to cease using the subject technology or require us to license the subject technology from the third party, all of which could have a material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There are risks to our intellectual property based on our international business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face risks to our technology and intellectual property as a result of our conducting business outside of the U.S., including as a result of our strategic arrangement with A&amp;B (and subsequent transfer of assets to CMS and CMS Medical Hong Kong Limited), and particularly in jurisdictions that do not have comparable levels of protection of corporate proprietary information and assets such as intellectual property, trademarks, trade secrets, know-how and customer information and records. While these risks are common to many companies, conducting business in certain foreign jurisdictions, housing technology, data and intellectual property abroad, or licensing technology to joint ventures with foreign partners may have more significant exposure. Pursuant to our agreement with A&amp;B, we transferred ownership of certain of our Asian patents, patent applications, and product support material for the PoNS device from us to A&amp;B and granted to A&amp;B, among other things, an exclusive license to market, promote, distribute and sell the PoNS device solely within specified Asian territories. Subsequently, A&amp;B partnered with other companies in other foreign jurisdictions in connection with the development and manufacturing of the PoNS device, which may expose us to material risks of theft of our proprietary information and other intellectual property, including technical data, manufacturing processes, data sets or other sensitive information. For example, our product or components may be reverse engineered by other business partners or other parties, which could result in our patents being infringed or our know-how or trade secrets stolen. The risk can be by direct intrusion wherein technology and intellectual property is stolen or compromised through cyber intrusions or physical theft through corporate espionage, including with the assistance of insiders, or via more indirect routes.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Before we can market and sell our products for additional indications, we are required to obtain marketing authorization and/or certification from the FDA and foreign regulatory authorities. These authorizations and/or certifications will take significant time and require significant research, development, and clinical study expenditures, and ultimately may not succeed.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Before we begin to label and market the PoNS Therapy for new uses in the U.S., we are required to obtain marketing authorization via a </w:t>
      </w:r>
      <w:r>
        <w:rPr>
          <w:rFonts w:ascii="Times New Roman;Times;serif" w:hAnsi="Times New Roman;Times;serif"/>
          <w:i/>
          <w:sz w:val="20"/>
        </w:rPr>
        <w:t>de novo</w:t>
      </w:r>
      <w:r>
        <w:rPr>
          <w:rFonts w:ascii="Times New Roman;Times;serif" w:hAnsi="Times New Roman;Times;serif"/>
          <w:sz w:val="20"/>
        </w:rPr>
        <w:t xml:space="preserve"> classification and clearance request for our product or approval of pre-market approval application from the FDA, unless an exemption from pre-market review applies. While we have marketing authorization for the PoNS Therapy in the U.S. for use as a short-term treatment of gait deficit due to mild-to-moderate symptoms of MS, we have not received regulatory authorization or approval for any other indication. The process of obtaining regulatory authorizations or approvals, including completion of the </w:t>
      </w:r>
      <w:r>
        <w:rPr>
          <w:rFonts w:ascii="Times New Roman;Times;serif" w:hAnsi="Times New Roman;Times;serif"/>
          <w:i/>
          <w:sz w:val="20"/>
        </w:rPr>
        <w:t>de novo</w:t>
      </w:r>
      <w:r>
        <w:rPr>
          <w:rFonts w:ascii="Times New Roman;Times;serif" w:hAnsi="Times New Roman;Times;serif"/>
          <w:sz w:val="20"/>
        </w:rPr>
        <w:t xml:space="preserve"> classification process, to market a medical device can be costly and time consuming, and we may not be able to successfully obtain pre-market reviews on a timely basis, if at 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April 2019, the FDA declined our request for de novo classification and clearance for mmTBI, in part due to insufficient clinical evidence regarding effectiveness of our product from mmTBI. Following a pre-submission meeting with the FDA, we are assessing the feasibility of a clinical program to advance the development of a study aimed to obtain clearance for gait and balance deficits in mmTBI if nondilutive financing to fund the program becomes available. The FDA has substantial discretion in the de novo review process and may refuse to accept any future application(s) or may decide that our data are insufficient to grant the de novo request and require additional pre-clinical, clinical, or other studies. In addition, varying interpretations of the data obtained from pre-clinical and clinical testing could delay, limit, or prevent marketing authorization and/or certification from the FDA or other regulatory authorities.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Moreover, in addition to continuing our pursuit of an indication for stroke and mmTBI with the FDA, we are currently considering the development of the PoNS device for other potential indications, including cerebral palsy, Parkinson’s disease, baby boomers balance, and neurological wellness, as well as expanding the label of our current indications.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the FDA requires us to go through a lengthier, more rigorous examination for the PoNS device for any of these indications or any other indications we may pursue, as it has for the PoNS device in the indication for mmTBI, introducing the product could be delayed or canceled, which would cause our launch to be delayed or cancelled. In addition, the FDA may determine that the PoNS device requires the more costly, lengthy and uncertain pre-market approval process. For example, if the FDA disagrees with our determination that the </w:t>
      </w:r>
      <w:r>
        <w:rPr>
          <w:rFonts w:ascii="Times New Roman;Times;serif" w:hAnsi="Times New Roman;Times;serif"/>
          <w:i/>
          <w:sz w:val="20"/>
        </w:rPr>
        <w:t>de novo</w:t>
      </w:r>
      <w:r>
        <w:rPr>
          <w:rFonts w:ascii="Times New Roman;Times;serif" w:hAnsi="Times New Roman;Times;serif"/>
          <w:sz w:val="20"/>
        </w:rPr>
        <w:t xml:space="preserve"> classification procedures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FDA marketing authorization will be costly, may result in time-consuming delays and will subject us to ongoing compliance costs and regulatory risk for non-compliance.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Even though we have obtained FDA market clearance for our product as a treatment for MS, obtaining FDA marketing authorization, </w:t>
      </w:r>
      <w:r>
        <w:rPr>
          <w:rFonts w:ascii="Times New Roman;Times;serif" w:hAnsi="Times New Roman;Times;serif"/>
          <w:i/>
          <w:sz w:val="20"/>
        </w:rPr>
        <w:t>de novo</w:t>
      </w:r>
      <w:r>
        <w:rPr>
          <w:rFonts w:ascii="Times New Roman;Times;serif" w:hAnsi="Times New Roman;Times;serif"/>
          <w:sz w:val="20"/>
        </w:rPr>
        <w:t xml:space="preserve"> classification and clearance, or PMA approval for medical devices for additional indications can be expensive and uncertain, generally takes from several months to several years, and generally requires detailed and comprehensive scientific and clinical data. Notwithstanding the expense, these efforts may never result in FDA authorization.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FDA can delay, limit or deny authorization of a device for many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demonstrate to the FDA’s satisfaction that our product candidate is safe and effective for its intended users;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from our pre-clinical studies and clinical trials may be insufficient to support authorization, where required; and</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process or facilities we use may not meet applicable requirements.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the FDA may change its authorization policies, adopt additional regulations or revise existing regulations, or take other actions, which may prevent or delay marketing authorization of our products under development. Any delay in, or failure to receive or maintain clearance or approval for our product candidate could prevent us from generating revenue from our product candidate and adversely affect our business operations and financial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Obtaining market authorization for our product as a treatment for additional indications will require a 510(k) clearance, </w:t>
      </w:r>
      <w:r>
        <w:rPr>
          <w:rFonts w:ascii="Times New Roman;Times;serif" w:hAnsi="Times New Roman;Times;serif"/>
          <w:i/>
          <w:sz w:val="20"/>
        </w:rPr>
        <w:t>de novo</w:t>
      </w:r>
      <w:r>
        <w:rPr>
          <w:rFonts w:ascii="Times New Roman;Times;serif" w:hAnsi="Times New Roman;Times;serif"/>
          <w:sz w:val="20"/>
        </w:rPr>
        <w:t xml:space="preserve"> classification and clearance, or pre-market approval under which the FDA will likely place substantial restrictions on how our device is marketed or sold. Moreover, the manufacture of medical devices must comply with the FDA’s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The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w:t>
      </w:r>
    </w:p>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letters, warning letters, fines, injunctions, consent decrees and civil penalties;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notifications of repair, replacement, refunds, detention or seizure of our products;</w:t>
            </w:r>
          </w:p>
        </w:tc>
      </w:tr>
    </w:tbl>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restrictions or partial suspension or total shutdown of production;</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or delaying requests for marketing authorization of new products or modified products;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withdrawing marketing authorizations that have already been granted;</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to provide Certificates for Foreign Government;</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to grant export approval for our products; or</w:t>
            </w:r>
          </w:p>
        </w:tc>
      </w:tr>
    </w:tbl>
    <w:tbl>
      <w:tblPr>
        <w:tblW w:w="3021" w:type="dxa"/>
        <w:jc w:val="left"/>
        <w:tblInd w:w="0" w:type="dxa"/>
        <w:tblLayout w:type="fixed"/>
        <w:tblCellMar>
          <w:top w:w="28" w:type="dxa"/>
          <w:left w:w="28" w:type="dxa"/>
          <w:bottom w:w="28" w:type="dxa"/>
          <w:right w:w="28" w:type="dxa"/>
        </w:tblCellMar>
      </w:tblPr>
      <w:tblGrid>
        <w:gridCol w:w="124"/>
        <w:gridCol w:w="256"/>
        <w:gridCol w:w="2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pursuing criminal prosecution.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Regulatory enforcement or inquiries, or other increased scrutiny on us, could affect the perceived safety and efficacy of our product candidate and dissuade our customers from using our product candidate, if and when it is authorized for marketing.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 the past and may be required to conduct clinical trials to support a de novo submission or PMA application for the PoNS device with respect to one or more indications and we expect to be required to conduct clinical trials to support regulatory marketing authorization for future product candidates.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order to commercialize our product candidate in the U.S. with respect to specified indications, we may be required by the FDA to submit an application for premarket approval, or PMA, for review and approval by the FDA. A PMA application must be submitted to the FDA if our device cannot be cleared through the 510(k) clearance process, down classified via the </w:t>
      </w:r>
      <w:r>
        <w:rPr>
          <w:rFonts w:ascii="Times New Roman;Times;serif" w:hAnsi="Times New Roman;Times;serif"/>
          <w:i/>
          <w:sz w:val="20"/>
        </w:rPr>
        <w:t>de novo</w:t>
      </w:r>
      <w:r>
        <w:rPr>
          <w:rFonts w:ascii="Times New Roman;Times;serif" w:hAnsi="Times New Roman;Times;serif"/>
          <w:sz w:val="20"/>
        </w:rPr>
        <w:t xml:space="preserve"> process, or is not exempt from premarket review by the FDA.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could also be required to submit a PMA application for potential future product candidates. If we are required by the FDA to submit a PMA application, the FDA will also require us to conduct clinical trials. We will receive marketing authorization from the FDA to commercialize products requiring a clinical trial only if we can demonstrate to the satisfaction of the FDA, through well designed and properly conducted clinical trials, that our product candidate is safe, effective, and otherwise meet the appropriate standards required for marketing authorization for specified indications.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and may continue to encounter substantial delays in planned clinical trials, or our planned clinical trials for other indications using the PoNS device may fail to demonstrate the safety and efficacy of the PoNS device to the satisfaction of applicable regulatory authorities.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currently engaged in multiple clinical trials and may continue to pursue additional clinical trials in the future. Clinical trials are complex, expensive, time consuming, uncertain as to outcome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cannot guarantee that clinical trials will be conducted as planned or completed on schedule, if at all. A failure of one or more clinical trials can occur at any stage of testing. Delays can be costly and could negatively affect our ability to complete a clinical trial and may allow our competitors to bring products to market before we do, which could impair our ability to successfully commercialize the PoNS device. If we are unable to complete such planned clinical trials, or are unsuccessful in doing so, we may be unable to advance the PoNS device to regulatory authorization and/or certification, and commercialization, which would harm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and will continue to be, dependent in significant part on outside scientists and third-party research institutions for our research and development in order to be able to commercialize our product.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and will continue to conduct clinical trials to obtain FDA marketing authorization. We rely heavily on third parties over the course of our clinical trials, and as a result will have limited control over the clinical investigators and limited visibility into their day-to-day activities. Nevertheless, we are responsible for ensuring that each of our studies is conducted in accordance with the applicable protocol and legal, regulatory and scientific standards, and our reliance on third parties does not relieve us of our regulatory responsibilities. These third parties and we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or may subject them or us to regulatory enforcement actions. We cannot be certain that, upon inspection, such regulatory authorities will determine that any of our clinical trials comply with the cGCP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regulations. In addition, our clinical trials may be required to be conducted with a large number of test patients. Our failure or any failure by these third parties to comply with these regulations or to recruit a sufficient number of patients may require us to repeat clinical trials, which would delay the regulatory marketing authorization and/or certification process. Moreover, our business may be implicated if any of these third parties violates federal or state fraud and abuse or false claims laws and regulations or healthcare privacy and security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marketing authorization and/or certification of or successfully commercialize our product candidate. As a result, our financial results and the commercial prospects for our product candidate would be harmed, our costs could increase, and our ability to generate revenue could be delayed.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relationships terminate with these third-party CROs, we may not be able to enter into arrangements with alternative CROs or do so on commercially reasonable terms. Switching or adding additional CROs involves additional cost and requires management’s time and focus. In addition, there is a natural transition period when a new CRO begins work. As a result, delays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required to suspend or discontinue clinical trials due to side effects or other safety risks that could preclude approval of our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clinical trials may be suspended at any time for a number of reasons. We may voluntarily suspend or terminate our clinical trials if at any time we believe that they present an unacceptable risk to participants.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participants.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obtain coverage or adequate reimbursement for our products, use of our products may decline and our ability to generate revenue may be decreased.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U.S., the commercial success of our existing product and any future products will depend, in part, on the extent to which governmental payers at the federal and state levels, including Medicare and Medicaid, private health insurers and other third-party payers provide coverage for and establish adequate reimbursement levels for our products. The existence of coverage and adequate reimbursement for our products by government and private payers is critical to market acceptance of our existing and future products. Suppliers are not likely to furnish our existing and any future products if they do not receive adequate reimbursement for our products.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Many private payers currently base their reimbursement policies on the coverage decisions and payment amounts determined by CMS, which administers the Medicare program. Others may adopt different coverage or reimbursement policies for our products, while some governmental programs, such as Medicaid, have reimbursement policies that vary from state to state, some of which may not pay for our products in an adequate amount, if at all. A Medicare national or local coverage decision denying coverage for one or more of our products could result in private and other third-party payers also denying coverage for our products. Third-party payers also may deny reimbursement for our products if they determine that a product was not medically necessary, was not used in accordance with cost-effective treatment methods, as determined by the third-party payer, or was used for an unapproved use. Unfavorable coverage or reimbursement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decisions by government programs or private payers underscore the uncertainty that our products face in the market and could have a material adverse effect on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healthcare industry in the U.S. has experienced a trend toward cost containment as government and private payers seek to control healthcare costs by paying service providers lower rates. While we believe that suppliers will be able to obtain coverage for our products, the level of payment available to them for our products may change over time. Federal and state healthcare programs, such as Medicare and Medicaid, closely regulate program payment levels and have sought to contain, and sometimes reduce, payment levels. Private payers frequently follow government payment policies and are likewise interested in controlling increases in the cost of medical care. In addition, some payers are adopting pay-for-performance programs that differentiate payments to suppliers based on the achievement of documented quality-of-care metrics, cost efficiencies, or patient outcomes. These programs are intended to provide incentives to providers to deliver the same or better results while consuming fewer resources. Because of these programs, and related payer efforts to reduce payment levels, suppliers are seeking ways to reduce their costs, including the amounts they pay to medical device manufacturers. We may not be able to sell our product profitably if third-party payers deny or discontinue coverage or reduce their levels of payment below that which we project, or if our production costs increase at a greater rate than payment levels. Adverse changes in payment rates by payers to suppliers could adversely affect our ability to market, sell our products, and negatively affect our financial 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payers, that reimbursement will be available or, if available, that the third-party payers’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healthcare laws, we could face substantial penalties and financial exposure, and our business, operations and financial condition could be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subject to numerous healthcare laws that place limitations and requirements on the manner in which we conduct our business, including our sales and promotional activities and interactions with healthcare professionals and facilities. In some instances, our interactions with healthcare professionals and facilities that occurred prior to commercialization (e.g., the granting of stock options) could have implications at a later date. The laws that may affect our ability to operate include, among others: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healthcare Anti-Kickback Statute prohibits any person from, among other things, knowingly and willfully offering, paying, soliciting, or receiving remuneration, directly or indirectly, in cash or in kind, to induce or reward either the referral of an individual for, or the purchasing, leasing, ordering or arranging for or recommending of any good or service for which payment may be made, in whole or in part, under federal and state healthcare programs such as Medicare and Medicaid. The term “remuneration” has been broadly interpreted to include anything of value. The Anti-Kickback Statute is subject to evolving interpretation and has been applied by government enforcement officials to a number of common business arrangements in the medical device industry. The government can establish a violation of the Anti-Kickback Statute without proving that a person or entity had actual knowledge of the statute or specific intent to violate it. There are a number of statutory exemptions and regulatory safe harbors protecting some common activities from prosecution; however, those exceptions and safe harbors are drawn narrowly.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Penalties for violations of the Anti-Kickback Statute include, but are not limited to, criminal, civil and/or administrative penalties, damages, fines, disgorgement, individual imprisonment, possible exclusion from Medicare, Medicaid and other federal healthcare programs, and the curtailment or restructuring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federal civil False Claims Act prohibits, among other things, knowingly presenting, or causing to be presented, claims for payment of government funds that are false or fraudulent, or knowingly making, or using or causing to be made or used, a false record or statement material to an obligation to pay money to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or false or fraudulent claim to knowingly and improperly avoiding, decreasing, or concealing an obligation to pay money to the federal government. Private individuals, commonly known as “whistleblowers,” can bring civil False Claims Act qui tam actions, on behalf of the government and such individuals may share in amounts paid by the entity to the government in recovery or settlement. In addition,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among other things, imposes criminal and civil liability for knowingly and willfully executing a scheme to defraud any healthcare benefit program, including private third party payors,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 Sunshine Act, implemented as the Open Payments Program, requires certain manufacturers of drugs, devices, biologics, and medical supplies for which payment is available under Medicare, Medicaid or the Children’s Health Insurance Program (with certain exceptions) to report annually to the Centers for Medicare and Medicaid Services information related to payments and other transfers of value, directly or indirectly, to physicians, physician assistants, nurse practitioners, clinical nurse specialists, certified nurse anesthetists, and certified nurse midwives, and teaching hospitals, as well as ownership and investment interests held by physicians and their immediate family members.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laws and regulations, such as state anti-kickback and false claims laws, may apply to sales or marketing arrangements and claims involving healthcare items or services reimbursed by any third-party payors, including private insurers or patients.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our operations are found to be in violation of any of the laws described above or any other domestic or foreign laws and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communications regarding products and product candidates, even while in development, are subject to extensive government scrutiny. We may be subject to governmental, regulatory and other legal proceedings relative to advertising, promotion, and marketing, and communications with study subjects and healthcare professionals, which could have a significant negative effect on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governmental oversight and associated civil and criminal enforcement relating to medical device advertising, promotion, and marketing, and such enforcement is evolving and intensifying. Communications regarding our products in development and regarding our clinical trials may subject us to enforcement if they do not comply with applicable laws. In the U.S., we are potentially subject to enforcement from the FDA, other divisions of the Department of Health and Human Services, the U.S. Federal Trade Commission, or the FTC, the Department of Justice, and state and local governments. Other parties, including private plaintiffs, also are commonly bringing suit against pharmaceutical and medical device companies. We may be subject to liability based on the actions of individual employees and third-party contractors carrying out activities on our behalf.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after marketing authorization and/or certification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After commercialization, 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 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FDA and foreign regulatory bodies have the authority to require the recall of commercialized products in the event of material deficiencies or defects in design or manufacture of a product or in the event that a product poses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letters, warning letters, fines, injunctions, consent decrees and civil penalties;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expenditures to address or defend such actions;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notifications or repair, replacement, refund, recall, detention or seizure of our products;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restrictions or partial suspension or total shutdown of production;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refusing or delaying our requests for 510(k) clearance, </w:t>
            </w:r>
            <w:r>
              <w:rPr>
                <w:rFonts w:ascii="Times New Roman;Times;serif" w:hAnsi="Times New Roman;Times;serif"/>
                <w:b w:val="false"/>
                <w:i/>
                <w:sz w:val="20"/>
              </w:rPr>
              <w:t>de novo</w:t>
            </w:r>
            <w:r>
              <w:rPr>
                <w:caps w:val="false"/>
                <w:smallCaps w:val="false"/>
              </w:rPr>
              <w:t xml:space="preserve"> </w:t>
            </w:r>
            <w:r>
              <w:rPr>
                <w:rFonts w:ascii="Times New Roman;Times;serif" w:hAnsi="Times New Roman;Times;serif"/>
                <w:b w:val="false"/>
                <w:i w:val="false"/>
                <w:caps w:val="false"/>
                <w:smallCaps w:val="false"/>
                <w:sz w:val="20"/>
              </w:rPr>
              <w:t>clearance, PMA approval, NDA, or BLA of new products or modified products;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withdrawing clearances or approvals that have already been granted;</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grant export approval for our products; or</w:t>
            </w:r>
          </w:p>
        </w:tc>
      </w:tr>
    </w:tbl>
    <w:tbl>
      <w:tblPr>
        <w:tblW w:w="2256" w:type="dxa"/>
        <w:jc w:val="left"/>
        <w:tblInd w:w="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prosecution.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legislative or FDA regulatory reforms may make it more difficult and costly for us to obtain regulatory approval of our product and to manufacture, market and distribute our products after marketing authorization is obtained.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It is impossible to predict whether legislative changes will be enacted, or FDA regulations, guidance or interpretations changed, and what the impact of such changes, if any, may be. Any new regulations or revisions or reinterpretations of existing regulations may impose additional costs or lengthen review times of future products.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Any changes in the laws or regulations that govern the clearance and approval processes relating to our current, planned and future products could make it more difficult and costly to obtain clearance or approval for new products or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Worldwide economic and social instability could adversely affect our revenue, financial condition, or results of operations.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of the global economy as well as the stability of the social fabric of our society affects our business and operating results. Global economic conditions in recent years have been volatile and disruptive due a number of factors such as geopolitical conflicts including those in Ukraine and in the Middle East, disruptions in the banking system and financial markets, supply chain disruptions, labor shortages, increased inflation and sustained high interest rates. These conditions from time to time have, and could in the future, caused or exacerbated significant slowdowns in our industry and in the markets in which we operate, negatively impacting our business and results of operations. Our customers may experience financial difficulties or be unable to borrow money to fund their operations, which may adversely impact their ability to purchase our products or to pay for our products on a timely basis, if at all. In addition, adverse economic conditions have impacted, and may continue to adversely impact our suppliers’ ability to provide our manufacturer with materials and components, which may negatively impact our business. Furthermore, these economic conditions make it more difficult for us to accurately forecast and plan our future business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expenses are greater than anticipated, then we will have fewer funds with which to pursue our plan of operations and our financing requirements will be greater than anticipated.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find that the costs of carrying out our plan of operations are greater than we anticipate. We expect our expenses to increase over time in connection with our ongoing activities, particularly if and as we: expand our commercialization efforts of our PoNS device in the U.S. for MS; make improvements to our manufacturing process and product design; launch clinical trials for stroke and other indications; pursue further regulatory approvals; maintain, expand and protect our intellectual property portfolio; and add additional personnel. Increased operating costs may cause the amount of financing that we require to increase. Investors may be more reluctant to provide additional financing if we cannot demonstrate that we can control our operating costs. There is no assurance that additional financing required as a result of our operating costs being greater than anticipated will be available to us. If we do not control our operating expenses, then we will have fewer funds with which to carry out our plan of operations with the result that our business may fail.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net operating losses to offset future taxable income may be subject to certain limitations.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Section 382 of the Internal Revenue Code of 1986, as amended, or the Code substantial changes in a corporation’s ownership may limit the amount of net operating losses, or NOLs, that can be utilized annually in the future to offset the corporation’s (and the corporation’s affiliates’) U.S. federal and state taxable income. Specifically, this limitation may arise in the event of a cumulative change in ownership of more than 50% within any three-year period. The amount of the annual limitation is determined based on the value of the corporation that underwent the ownership change, immediately before the ownership change. Subsequent ownership changes may further affect any limitation in future years (including by way of exercising of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undertake a study to analyze and determine if any historical ownership changes of us or our subsidiary HMI have occurred to determine if there are any permanent limitations on our ability to utilize NOLs in the future. If we determine that an ownership change has occurred, the limitations on the use of our NOLs could increase our U.S. federal and state tax liability and reduce the amount of cash available for distribution to shareholders or otherwise adversely affect the value of an investment in our common stock or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 a result of the use of our product in clinical trials, and through the sale of our products, we may be liable for product liability claims and we may not carry sufficient product liability 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PoNS device and any devices and product candidates that we may develop in the future may expose us to potential liability from personal injury claims by clinical trial subjects and, if commercially sold, end-users of the product. We maintain clinical trial liability insurance and carry product liability insurance to protect us against the risk that in the future a product liability claim or product recall could materially and adversely affect our business. Inability to obtain sufficient insurance coverage at an acceptable cost or otherwise to protect against potential product liability claims could prevent or inhibit the commercialization of our intended product. We cannot assure you that when we commence distribution of our product that we will be able to obtain or maintain adequate coverage on acceptable terms, or that such insurance will provide adequate coverage against all potential claims. Moreover,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the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“smaller reporting company” under federal securities laws and we cannot be certain whether the reduced reporting requirements applicable to such companies will make our common stock less attractive to investors.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Investors could lose confidence in our financial reports, and the value of our common stock may be adversely affected, if our internal controls over financial reporting are found not to be effective by management or by our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long as we remain a non-accelerated filer, we are exempt from the attestation requirement in the assessment of our internal control over financial reporting by our independent auditors pursuant to section 404(b) of the Sarbanes-Oxley Act of 2002 but are required to make our own internal assessment of the effectiveness of our internal controls over financial reporting. The existence of one or more material weaknesses could affect the accuracy and timing of our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Investors could lose confidence in our financial reports, and the value of our common stock may be harmed, if our internal controls over financial reporting are found not to be effective by management or by our independent registered public accounting firm.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Several people who work for us on a part-time consulting basis may be subject to conflicts of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Several people who provide services to us are part-time consultants. Each may devote part of his working time to other business endeavors, including consulting relationships with other corporate entities, and may have responsibilities to these other entities. Because of these relationships, some of the persons who provide services to us may be subject to conflicts of interest. Such conflicts may include deciding how much time to devote to our affairs, as well as what business opportunities should be presented to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and operations would suffer in the event of computer system failures, cyber-attacks or a deficiency in our cyber-security.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Despite the implementation of security measures, our information technology, communication networks and related systems, and those of third parties on which we rely, could be damaged, disrupted, breached or otherwise compromised from computer viruses, malware, natural disasters, terrorism, war, telecommunication and electrical failures, cyber-attacks or cyber-intrusions (including ransomware attacks) over the Internet, attachments to emails, persons inside our organization, or persons with access to systems inside our organization. No network or system can ever be completely secure, and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For example, in October 2019, we were the victim of a business email compromise fraud which resulted in our incurring a loss of approximately $0.1 million. If any such attack, intrusion or other event were to occur and cause interruptions in our operations, it could result in a material disruption of our development programs for an indeterminate period of time. For example, the loss of clinical trial data from completed or ongoing or planned clinical trials could result in delays in our regulatory approval efforts and significantly increase our costs to recover or reproduce the data. In some cases, data cannot be reproduced. To the extent that any disruption or cybersecurity incident was to result in a loss of or damage to our data or applications, or inappropriate disclosure of confidential or proprietary information, we could incur material legal claims and liability, damage to our reputation, and the further development of the PoNS device or any future product candidate could be delayed. If a cybersecurity incident results in the exposure or unauthorized disclosure of personal information, we could incur additional costs associated with data breach notification and remediation expenses, investigation costs, regulatory penalties and fines, and legal proceedings. Our insurance coverage may not be adequate to cover all the costs related to such cybersecurity incidents.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Challenges to our tax positions in U.S. or non-U.S. jurisdictions, the interpretation and application of recent U.S. tax legislation or other changes in U.S. or non-U.S. taxation of our operations could harm our business, revenue and financial results.</w:t>
      </w:r>
      <w:r>
        <w:rPr>
          <w:rFonts w:ascii="Times New Roman;Times;serif" w:hAnsi="Times New Roman;Times;serif"/>
          <w:b/>
          <w:i/>
          <w:caps w:val="false"/>
          <w:smallCaps w:val="false"/>
          <w:color w:val="FF0000"/>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operate, or intend to operate, in a number of tax jurisdictions globally, including in the U.S. at the federal, state and local levels, and in several other countries, and we therefore are or will be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may increase our worldwide effective tax rate, result in additional taxes or other costs or have other material consequences, which could harm our business, revenue and financial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cumulative impact of these and other changes in tax law is uncertain and our business and financial condition could be adversely affected. The impact of these changes on holders of our securities is also uncertain and could be adverse.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could be delisted from The Nasdaq Capital Market, which could seriously harm the liquidity of our stock and our ability to raise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common stock is listed on the Nasdaq Capital Market under the symbol “HSDT”. In order to maintain that listing, we must satisfy minimum financial and other requirements including, without limitation, the minimum stockholders equity requirement and the minimum bid price requirement. There can be no assurances that we will be successful in maintaining, or if we fall out of compliance, in regaining compliance with the continued listing requirements and maintaining the listing of our common stock on the Nasdaq Capital Market. Delisting from Nasdaq could adversely affect our ability to raise additional financing through the public or private sale of equity securities and we would incur additional costs under requirements of state “blue sky” laws in connection with any sales of our securities. Delisting could also have other negative results, including the potential loss of confidence by employees, the loss of institutional investor interest and fewer business development opportunities.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our common stock is delisted by Nasdaq, the price of our common stock may decline and our common stock may be eligible to be quoted on the OTC Bulletin Board, another over-the-counter quotation system, or on the pink sheets, which would negatively affect the liquidity of our common stock and an investor may find it more difficult to dispose of their common stock or obtain accurate quotations as to the market value of our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if our common stock is delisted from the Nasdaq Capital Market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 active trading market for our common stock on The Nasdaq Capital Market may not continue to develop or be sustained.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Although our common stock is listed on The Nasdaq Capital Market, we cannot assure you that an active trading market for our common stock will continue to develop or be sustained. If an active market for our common stock does not continue to develop or is not sustained, it may be difficult for investors in our common stock to sell their shares of our common stock without depressing the market price for the shares or to sell the shares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Trading of our common stock could be sporadic, and the price of our common stock may be volatile; we caution you as to the highly illiquid nature of an investment in our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common stock has been listed on The Nasdaq Capital Market since April 11, 2018. Securities of microcap and small-cap companies have experienced substantial volatility in the past, often based on factors unrelated to the companies’ financial performance or prospects. We believe that trading in our stock has been and will likely continue to be subject to significant volatility. These factors include macroeconomic developments in North America and globally and market perceptions of the attractiveness of particular industries. Factors unrelated to our performance that may affect the price of our common stock include the following: the extent of analytical coverage available to investors concerning our business may be limited if investment banks with research capabilities do not follow us, a reduction in trading volume and general market interest in our common stock may affect an investor’s ability to trade significant numbers of shares of our common stock; the size of our public float may limit the ability of some institutions to invest in our common stock. As a result of any of these factors, the market price of our common stock at any given point in time may not accurately reflect our long-term value. The price of our common stock may increase or decrease in response to a number of events and factors, including: changes in financial estimates; our acquisitions and financings; quarterly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variations in our operating results; the operating and share price performance of other companies that investors may deem comparable; and purchase or sale of blocks of our common stock. These factors, or any of them, may materially adversely affect the prices of our common shares regardless of our operating 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market price of our common stock is affected by many other variables which are not directly related to our success and are, therefore, not within our control. These include other developments that affect the breadth of the public market for shares of our common stock and the attractiveness of alternative investments. The effect of these and other factors on the market price of our common stock is expected to make our common stock price volatile in the future, which may result in losses to investors.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charter documents also contain other provisions that could have an anti-takeover effect, including:</w:t>
      </w:r>
    </w:p>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stockholders are not entitled to remove directors other than by a 66 </w:t>
            </w:r>
            <w:r>
              <w:rPr>
                <w:rFonts w:ascii="Times New Roman;Times;serif" w:hAnsi="Times New Roman;Times;serif"/>
                <w:b w:val="false"/>
                <w:i w:val="false"/>
                <w:caps w:val="false"/>
                <w:smallCaps w:val="false"/>
                <w:sz w:val="15"/>
              </w:rPr>
              <w:t>2</w:t>
            </w:r>
            <w:r>
              <w:rPr>
                <w:caps w:val="false"/>
                <w:smallCaps w:val="false"/>
              </w:rPr>
              <w:t>⁄</w:t>
            </w:r>
            <w:r>
              <w:rPr>
                <w:rFonts w:ascii="Times New Roman;Times;serif" w:hAnsi="Times New Roman;Times;serif"/>
                <w:b w:val="false"/>
                <w:i w:val="false"/>
                <w:caps w:val="false"/>
                <w:smallCaps w:val="false"/>
                <w:sz w:val="15"/>
              </w:rPr>
              <w:t>3</w:t>
            </w:r>
            <w:r>
              <w:rPr>
                <w:rFonts w:ascii="Times New Roman;Times;serif" w:hAnsi="Times New Roman;Times;serif"/>
                <w:b w:val="false"/>
                <w:i w:val="false"/>
                <w:caps w:val="false"/>
                <w:smallCaps w:val="false"/>
                <w:sz w:val="20"/>
              </w:rPr>
              <w:t>% vote and only for cause;</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not be permitted to take actions by written consent;</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cannot call a special meeting of stockholders;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must give advance notice to nominate directors or submit proposals for consideration at stockholder meetings.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certificate of incorporation provides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certificate of incorporation or our bylaws or (iv) any action asserting a claim governed by the internal affairs doctrine. Our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 litigation costs in pursuing any such claim, particularly if they do not reside in or near the State of Delaware. The Court of Chancery and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certificate of incorporation to be inapplicable or unenforceable in an action, we may incur additional costs associated with resolving such action in other jurisdictions, which could adversely affect our business and financial condition.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As a result of this decision, we do not currently intend to enforce the federal forum selection provision in our certificate of incorporation, unless the decision is reversed on appeal. However, if the decision is reviewed on appeal and ultimately overturned by the Delaware Supreme Court, we would enforce the federal district court exclusive forum provision.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or cease publishing research or reports about us, our business or our market, or if they change their recommendations regarding our stock adversely, our stock price and trading volume could decline.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not paid any dividends and do not foresee paying dividends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intend to retain earnings, if any, to finance the growth and development of our business and do not intend to pay cash dividends on shares of our common stock in the foreseeable future. The payment of future cash dividends, if any, will be reviewed periodically by the board of directors and will depend upon, among other things, conditions then existing including earnings, financial condition and capital requirements, restrictions in financing agreements, business opportunities and other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decline in the price of our common stock could affect our ability to raise any required working capital and adversely affect our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decline in the price of our common stock could result in a reduction in the liquidity of our common stock and a reduction in our ability to raise any required capital for our operations. Because our operations to date have been principally financed through public and private offerings of our common stock and warrants and exercises of options and warrants, a decline in the price of our common stock could have an adverse effect upon our liquidity and our continued operations. A reduction in our ability to raise equity capital in the future may have a material adverse effect upon our business plans and operations. If our stock price declines, we may not be able to raise additional capital or generate funds from operations sufficient to meet our obligations.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heavily dependent upon the ability and expertise of our management team and a very limited number of employees and the loss of such individuals could have a material adverse effect on our business, operating results or financial condition.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currently have a very small management team. Our success is dependent upon the ability, expertise and judgment of our senior management. While employment agreements are customarily used as a primary method of retaining the services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key employees, these agreements cannot assure the continued services of such employees. Any loss of the services of such individuals could have a material adverse effect on our business, operating results or financial condition.</w:t>
      </w:r>
    </w:p>
    <w:p>
      <w:pPr>
        <w:pStyle w:val="Normal"/>
        <w:bidi w:val="0"/>
        <w:spacing w:before="0" w:after="0"/>
        <w:jc w:val="left"/>
        <w:rPr>
          <w:sz w:val="4"/>
          <w:szCs w:val="4"/>
        </w:rPr>
      </w:pPr>
      <w:r>
        <w:rPr>
          <w:sz w:val="4"/>
          <w:szCs w:val="4"/>
        </w:rPr>
      </w:r>
      <w:bookmarkStart w:id="38" w:name="ITEM1BUNRESOLVEDSTAFFCOMMENTS_880977"/>
      <w:bookmarkStart w:id="39" w:name="_d2ebfee9_be56_492d_b1d2_23e6e18ca3a6"/>
      <w:bookmarkStart w:id="40" w:name="ITEM1BUNRESOLVEDSTAFFCOMMENTS_880977"/>
      <w:bookmarkStart w:id="41" w:name="_d2ebfee9_be56_492d_b1d2_23e6e18ca3a6"/>
      <w:bookmarkEnd w:id="40"/>
      <w:bookmarkEnd w:id="41"/>
    </w:p>
    <w:tbl>
      <w:tblPr>
        <w:tblW w:w="4322" w:type="dxa"/>
        <w:jc w:val="left"/>
        <w:tblInd w:w="0" w:type="dxa"/>
        <w:tblLayout w:type="fixed"/>
        <w:tblCellMar>
          <w:top w:w="0" w:type="dxa"/>
          <w:left w:w="0" w:type="dxa"/>
          <w:bottom w:w="0" w:type="dxa"/>
          <w:right w:w="0" w:type="dxa"/>
        </w:tblCellMar>
      </w:tblPr>
      <w:tblGrid>
        <w:gridCol w:w="976"/>
        <w:gridCol w:w="3346"/>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1B.</w:t>
            </w:r>
          </w:p>
        </w:tc>
        <w:tc>
          <w:tcPr>
            <w:tcW w:w="3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UNRESOLVED STAFF COMMENTS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42" w:name="ITEM1CCYBERSECURITY"/>
      <w:bookmarkStart w:id="43" w:name="_9723da6d_c37c_4a89_b953_14c9c8fbce21"/>
      <w:bookmarkEnd w:id="42"/>
      <w:bookmarkEnd w:id="43"/>
      <w:r>
        <w:rPr>
          <w:rFonts w:ascii="Times New Roman;Times;serif" w:hAnsi="Times New Roman;Times;serif"/>
          <w:b/>
          <w:i w:val="false"/>
          <w:caps w:val="false"/>
          <w:smallCaps w:val="false"/>
          <w:sz w:val="20"/>
        </w:rPr>
        <w:t>ITEM 1C.</w:t>
      </w:r>
      <w:r>
        <w:rPr>
          <w:rFonts w:ascii="Times New Roman;Times;serif" w:hAnsi="Times New Roman;Times;serif"/>
          <w:b/>
          <w:sz w:val="20"/>
        </w:rPr>
        <w:t>CYBERSECURITY</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corporate information technology, communication networks, enterprise applications, accounting and financial reporting platforms, and related systems are necessary for the operation of our business. We use these systems, among others, to manage our product development, to communicate internally and externally, to operate our accounting and record-keeping functions, to store and access data including sensitive patient data and for many other key aspects of our business. Our business operations rely on the secure collection, storage, transmission, and other processing of proprietary, confidential, and sensitive data.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customers or patients, violation of data privacy or security laws, litigation, and legal, financial and reputational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coordination with third-party consultants, we have implemented and maintain various information security processes designed to identify, assess and manage material risks from cybersecurity threats to our critical systems and data. Depending on the environment, we implement and maintain various technical, physical, and organizational measures, processes, standards, and/or policies designed to manage and mitigate material risks from cybersecurity threats to our information systems and data, including risk assessments, incident detection and response, vulnerability management, disaster recovery and business continuity plans, internal controls within our accounting and financial reporting functions, encryption of data, network security controls, access controls, physical security, asset management, systems monitoring, vendor risk management program and employee training. We conduct annual reviews and tests of our information security program to evaluate its effectiveness and improve our security measures and planning.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operate our business, we utilize certain third-party service providers and vendors to support a variety of functions. We seek to engage reliable, reputable service providers and vendors that maintain cybersecurity programs, and we implement a vetting process to ensure that all third-party service providers and venders comply with our cybersecurity program requirements.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not aware of any risks from cybersecurity threats, including as a result of any cybersecurity incidents, which have materially affected or are reasonably likely to materially affect our Company, including our business strategy, results of operations, or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Board of Directors holds oversight responsibility for the Company’s strategy and risk management, including material risks related to cybersecurity threats. Oversight of such cybersecurity risks is executed directly by the Board of Directors. The Board receives reports and engages in regular discussions with management regarding the Company’s significant risk exposures resulting from material cybersecurity threats and the measures implemented to monitor and reasonably manage these risks.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Director of Information Technology leads our information security organization and reports to our Chief Executive Officer and Chief Financial Officer on matters related to cybersecurity who then in turn report to the Board of Directors any material information regarding such cybersecurity matters. Our Director of Information Technology has over 30 years of IT experience and has developed a focus of experience in the healthcare industry.</w:t>
      </w:r>
    </w:p>
    <w:p>
      <w:pPr>
        <w:pStyle w:val="Normal"/>
        <w:bidi w:val="0"/>
        <w:spacing w:before="0" w:after="0"/>
        <w:jc w:val="left"/>
        <w:rPr>
          <w:sz w:val="4"/>
          <w:szCs w:val="4"/>
        </w:rPr>
      </w:pPr>
      <w:r>
        <w:rPr>
          <w:sz w:val="4"/>
          <w:szCs w:val="4"/>
        </w:rPr>
      </w:r>
      <w:bookmarkStart w:id="44" w:name="ITEM2PROPERTIES_630423"/>
      <w:bookmarkStart w:id="45" w:name="_36d4df4d_10c1_472f_a102_ba475d2ec27c"/>
      <w:bookmarkStart w:id="46" w:name="ITEM2PROPERTIES_630423"/>
      <w:bookmarkStart w:id="47" w:name="_36d4df4d_10c1_472f_a102_ba475d2ec27c"/>
      <w:bookmarkEnd w:id="46"/>
      <w:bookmarkEnd w:id="47"/>
    </w:p>
    <w:tbl>
      <w:tblPr>
        <w:tblW w:w="2237" w:type="dxa"/>
        <w:jc w:val="left"/>
        <w:tblInd w:w="0" w:type="dxa"/>
        <w:tblLayout w:type="fixed"/>
        <w:tblCellMar>
          <w:top w:w="0" w:type="dxa"/>
          <w:left w:w="0" w:type="dxa"/>
          <w:bottom w:w="0" w:type="dxa"/>
          <w:right w:w="0" w:type="dxa"/>
        </w:tblCellMar>
      </w:tblPr>
      <w:tblGrid>
        <w:gridCol w:w="841"/>
        <w:gridCol w:w="139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13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leases corporate office space in Newtown, Pennsylvania under an operating lease that expires in March 2025. The lease does not contain any options to extend. We believe our current facility is adequate for our needs.</w:t>
      </w:r>
    </w:p>
    <w:p>
      <w:pPr>
        <w:pStyle w:val="Normal"/>
        <w:bidi w:val="0"/>
        <w:spacing w:before="0" w:after="0"/>
        <w:jc w:val="left"/>
        <w:rPr>
          <w:sz w:val="4"/>
          <w:szCs w:val="4"/>
        </w:rPr>
      </w:pPr>
      <w:r>
        <w:rPr>
          <w:sz w:val="4"/>
          <w:szCs w:val="4"/>
        </w:rPr>
      </w:r>
      <w:bookmarkStart w:id="48" w:name="ITEM3LEGALPROCEEDINGS_49215"/>
      <w:bookmarkStart w:id="49" w:name="_bd9828c7_db8c_48fe_bfdb_4632be7d3e2f"/>
      <w:bookmarkStart w:id="50" w:name="ITEM3LEGALPROCEEDINGS_49215"/>
      <w:bookmarkStart w:id="51" w:name="_bd9828c7_db8c_48fe_bfdb_4632be7d3e2f"/>
      <w:bookmarkEnd w:id="50"/>
      <w:bookmarkEnd w:id="51"/>
    </w:p>
    <w:tbl>
      <w:tblPr>
        <w:tblW w:w="3137" w:type="dxa"/>
        <w:jc w:val="left"/>
        <w:tblInd w:w="0" w:type="dxa"/>
        <w:tblLayout w:type="fixed"/>
        <w:tblCellMar>
          <w:top w:w="0" w:type="dxa"/>
          <w:left w:w="0" w:type="dxa"/>
          <w:bottom w:w="0" w:type="dxa"/>
          <w:right w:w="0" w:type="dxa"/>
        </w:tblCellMar>
      </w:tblPr>
      <w:tblGrid>
        <w:gridCol w:w="841"/>
        <w:gridCol w:w="229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2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we are subject to litigation and claims arising in the ordinary course of business. Although the results of litigation and claims cannot be predicted with certainty, as of the date of this filing, we do not believe we are party to any claim or litigation, the outcome of which, if determined adversely to us, would individually or in the aggregate be reasonably expected to have a material adverse effect on our business or financial condition. Regardless of the outcome, litigation can have an adverse impact on us because of defense and settlement costs, diversion of management resources and other factors.</w:t>
      </w:r>
    </w:p>
    <w:p>
      <w:pPr>
        <w:pStyle w:val="Normal"/>
        <w:bidi w:val="0"/>
        <w:spacing w:before="0" w:after="0"/>
        <w:jc w:val="left"/>
        <w:rPr>
          <w:sz w:val="4"/>
          <w:szCs w:val="4"/>
        </w:rPr>
      </w:pPr>
      <w:r>
        <w:rPr>
          <w:sz w:val="4"/>
          <w:szCs w:val="4"/>
        </w:rPr>
      </w:r>
      <w:bookmarkStart w:id="52" w:name="ITEM4MINESAFETYDISCLOSURES_809931"/>
      <w:bookmarkStart w:id="53" w:name="_32429552_dfd7_4f12_aad7_18620afa5481"/>
      <w:bookmarkStart w:id="54" w:name="ITEM4MINESAFETYDISCLOSURES_809931"/>
      <w:bookmarkStart w:id="55" w:name="_32429552_dfd7_4f12_aad7_18620afa5481"/>
      <w:bookmarkEnd w:id="54"/>
      <w:bookmarkEnd w:id="55"/>
    </w:p>
    <w:tbl>
      <w:tblPr>
        <w:tblW w:w="3722" w:type="dxa"/>
        <w:jc w:val="left"/>
        <w:tblInd w:w="0" w:type="dxa"/>
        <w:tblLayout w:type="fixed"/>
        <w:tblCellMar>
          <w:top w:w="0" w:type="dxa"/>
          <w:left w:w="0" w:type="dxa"/>
          <w:bottom w:w="0" w:type="dxa"/>
          <w:right w:w="0" w:type="dxa"/>
        </w:tblCellMar>
      </w:tblPr>
      <w:tblGrid>
        <w:gridCol w:w="841"/>
        <w:gridCol w:w="2881"/>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4.</w:t>
            </w:r>
          </w:p>
        </w:tc>
        <w:tc>
          <w:tcPr>
            <w:tcW w:w="28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6" w:name="PARTII_466427"/>
      <w:bookmarkStart w:id="57" w:name="_ce28bdd1_a0ba_4f17_ac37_cd51cdf862c6"/>
      <w:bookmarkEnd w:id="56"/>
      <w:bookmarkEnd w:id="57"/>
      <w:r>
        <w:rPr>
          <w:rFonts w:ascii="Times New Roman;Times;serif" w:hAnsi="Times New Roman;Times;serif"/>
          <w:b/>
          <w:sz w:val="20"/>
        </w:rPr>
        <w:t>PART II</w:t>
      </w:r>
    </w:p>
    <w:p>
      <w:pPr>
        <w:pStyle w:val="Normal"/>
        <w:bidi w:val="0"/>
        <w:spacing w:before="0" w:after="0"/>
        <w:jc w:val="left"/>
        <w:rPr>
          <w:sz w:val="4"/>
          <w:szCs w:val="4"/>
        </w:rPr>
      </w:pPr>
      <w:r>
        <w:rPr>
          <w:sz w:val="4"/>
          <w:szCs w:val="4"/>
        </w:rPr>
      </w:r>
      <w:bookmarkStart w:id="58" w:name="ITEM5MARKETFORREGISTRANTSCOMMONEQUITYREL"/>
      <w:bookmarkStart w:id="59" w:name="ITEM5MARKETFORREGISTRANTSCOMMONEQUITYREL"/>
      <w:bookmarkEnd w:id="59"/>
    </w:p>
    <w:tbl>
      <w:tblPr>
        <w:tblW w:w="10205" w:type="dxa"/>
        <w:jc w:val="left"/>
        <w:tblInd w:w="0" w:type="dxa"/>
        <w:tblLayout w:type="fixed"/>
        <w:tblCellMar>
          <w:top w:w="0" w:type="dxa"/>
          <w:left w:w="0" w:type="dxa"/>
          <w:bottom w:w="0" w:type="dxa"/>
          <w:right w:w="0" w:type="dxa"/>
        </w:tblCellMar>
      </w:tblPr>
      <w:tblGrid>
        <w:gridCol w:w="826"/>
        <w:gridCol w:w="9379"/>
      </w:tblGrid>
      <w:tr>
        <w:trPr/>
        <w:tc>
          <w:tcPr>
            <w:tcW w:w="82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ITEM 5.</w:t>
            </w:r>
          </w:p>
        </w:tc>
        <w:tc>
          <w:tcPr>
            <w:tcW w:w="9379"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MARKET FOR REGISTRANT’S COMMON EQUITY, RELATED STOCKHOLDER MATTERS AND ISSUER PURCHASES OF EQUITY SECURITIES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common stock is traded on the Nasdaq under the symbol “HSDT”.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21, 2024, there were approximately 38 holders of record of our common stock. The number of holders of record is based on the actual number of holders registered on the books of our transfer agent and does not reflect holders of shares in “street name” or persons, partnerships, associations, corporations or other entities identified in security position listings maintained by depository trust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never paid any cash dividends on our common stock and have no current plans to pay any cash dividends. Our current policy is to retain any future earnings for use in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60" w:name="ITEM6Reserved_138969"/>
      <w:bookmarkStart w:id="61" w:name="_696d3cec_44ba_4325_8437_d4b3b547ff1a"/>
      <w:bookmarkEnd w:id="60"/>
      <w:bookmarkEnd w:id="61"/>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2" w:name="ITEM7MANAGEMENTSDISCUSSIONANDANALYSISOFF"/>
      <w:bookmarkStart w:id="63" w:name="_c740b867_d7ec_4425_854f_aa40b69c5b8b"/>
      <w:bookmarkStart w:id="64" w:name="ITEM7MANAGEMENTSDISCUSSIONANDANALYSISOFF"/>
      <w:bookmarkStart w:id="65" w:name="_c740b867_d7ec_4425_854f_aa40b69c5b8b"/>
      <w:bookmarkEnd w:id="64"/>
      <w:bookmarkEnd w:id="65"/>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7.</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consolidated financial statements and related notes included elsewhere in this Form 10-K. Further, you should read the following discussion and analysis of our financial condition and results of operations together with “Item 1A. Risk Factors” included elsewhere in this Form 10-K for a discussion of important factors that could cause actual results to differ materially from the results described in or implied by the forward-looking statements contained in the following discussion and analysis. See also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neurotechnology company focused on neurological wellness. Our purpose is to develop, license or acquire non-implantable technologies targeted at reducing symptoms of neurological disease or trauma.</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 is integral to the overall PoNS solution and is the physical therapy applied by patients during use of the PoNS neuromodulation stimulator. PoNS has marketing clearance in the U.S. for use in the U.S. as a short-term treatment of gait deficit due to mild-to-moderate symptoms for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or mmTBI,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Updates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28, 2023, the Company announced that Wolters Kluwer Health – Medi-Span® assigned universal product code numbers to the Company’s PoNS device controller and mouthpiece. The NDC/UPC/HRI codes for the PoNS device controller is 64288-00046 at $25,700 and the PoNS mouthpiece is 64288-00043 at $7,900. In February 2024, the Company confirmed that the PoNS device and mouthpiece are also listed on the First Data Bank (“FDB”) Prizm® database.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Previously, on September 19, 2022, the Company received notice from the Listing Qualifications Staff (the “Staff”) of The Nasdaq Stock Market LLC (“Nasdaq”) that the bid price for the Company’s Class A Common Stock (“common stock”) had closed below $1.00 per share for the prior 30-consecutive business day period and that the Company had been granted a 180-day grace period, through March 20, 2023, to regain compliance with Nasdaq Marketplace Rule 5550(a)(2) (the "Minimum Bid Price Rule"). Subsequently, on March 21, 2023, the Company was granted a second 180-day grace period through September 18, 2023.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31, 2023, following a reverse stock split of the Company’s common stock as described below, the Company received formal notification from Nasdaq confirming that is had regained compliance, and that the Company satisfied all other applicable criteria for continued listing on the Nasdaq Stock Market. As a result of the determination, the listing matter is closed.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the annual meeting of stockholders on May 24, 2023, the Company’s stockholders voted to approve a reverse stock split of the Company’s outstanding common stock at a ratio in the range of 1-for-10 to 1-for-80 to be determined 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discretion of the Company’s Board of Directors (the “Board”). On August 11, 2023, the Board approved a 1-for-50 reverse stock split of the Company’s issued and outstanding shares of common stock (the “Reverse Stock Split”) and on August 15, 2023, the Company filed with the Secretary of State of the State of Delaware a Certificate of Amendment to its Certificate of Incorporation to effect the Reverse Stock Split. The Reverse Stock Split became effective as of 5:00 p.m. Eastern Time on August 16, 2023, and the Company’s common stock began trading on a split-adjusted basis when the Nasdaq Stock Market opened on August 17, 2023. All share and per share amounts in this Report have been reflected on a post-split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third quarter of 2023, the Company began implementing the transition of the manufacturing of PoNS device controllers and mouthpieces to Minnetronix, Inc. from its previous contract manufacturer, Key Tronic Corporation. The majority of this transition was completed by the end of 2023, and the Company expects the transition to be fully completed by mid-2024.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Presently, PoNS Therapy is not covered by Center for Medicare and Medicaid (“CMS”) or reimbursed by any third-party payers in the U.S. We are pursuing commercial insurance coverage and Medicare reimbursement for PoNS within the Durable Medical Equipment, or DME, benefit category. We initially applied for unique Healthcare Common Procedure Coding System (“HCPCS”) codes during the third quarter of 2021. In order to address CMS’s request for additional information to “further understand the PoNS device indication for use”, we decided to monitor real-world utilization of PoNS Therapy and collect additional clinical evidence through our ongoing PoNSTEP study and our registry program. Based on consistent reports of positive therapeutic benefits experienced by MS patients through our commercial programs, we reapplied for HCPCS codes in the second quarter of 2023 leveraging new information addressing their questions and providing further support in favor of obtaining unique HCPCS codes for PoNS. In February 2024, CMS assigned HCPCS Level II codes A4593, “Neuromodulation stimulator system, adjunct to rehabilitation therapy regime” to describe the PoNS controller and A4594, “Neuromodulation stimulator system, adjunct to rehabilitation therapy regime, mouthpiece each” to describe the PoNS mouthpiece. The new HCPCS codes will be effective April 1, 2024. We expect to interact again with CMS in the second half of 2024 – to seek Medicare final payment determinations for both codes to be effective at the next scheduled date of October 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continue to monitor the development of CMS’s new pathway for coverage of innovative new devices, Transitional Coverage of Emerging Technology (“TCET”), which is replacing the repealed Medicare Coverage of Innovative Technologies rule. CMS is expected to provide additional information about TCET to the public for comments in 2024. As we follow the evolution of TCET, we will continue to assess our evidence generation strategy to reach the greatest potential to gain CMS reimbursement benefits as a result of our Breakthrough designation in 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 once the HCPCS codes become effective.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Patient Therapy Access Program (“PTAP”), launched in June 2022 and effective through June 2023, provided qualifying patients access to PoNS Therapy at a significantly reduced price. The PTAP was not renewed and terminated on 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Trends and Uncertainties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Global Economic Conditions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Generally, worldwide economic conditions remain uncertain, in part due to supply chain disruptions, labor shortages, global conflicts and increased inflation. The general economic and capital market conditions both in the U.S. and worldwide, have been volatile in recent years and at times have adversely affected our access to capital and have increased the cost of capital. The capital and credit markets may not be available to support future capital raising activity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favorable terms. If economic conditions continue to remain volatile or decline, our future cost of equity or debt capital and access to the capital markets could be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operating results could be materially impacted by changes in the overall macroeconomic environment and other economic factors. Changes in economic conditions, supply chain constraints, logistics challenges, labor shortages, global conflicts such as the conflicts in Ukraine and in the Middle East, and steps taken by governments and central banks as well as other stimulus and spending programs, have led to higher inflation, which has led to an increase in costs and has caused changes in fiscal and monetary policy, including increased interest rates. Although we may take measures to mitigate these impacts, if these measures are not effective, our business, financial condition, results of operations, and liquidity could be materially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Trends and Uncertainties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successfully commercialize, we need to continue to build infrastructure necessary to grow our business including adding headcount and implementing or upgrading business systems. Competition for talent in today’s labor market may impact our ability to add headcount and to recruit talent with the expertise we need to develop our commercial infrastructure.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response to the aforementioned challenges and trends, we have supplemented our personnel including quality resources at our contract manufacturer. Additionally, during the third quarter of 2023, we began implementing the transition of the manufacturing of PoNS device controllers and mouthpieces to Minnetronix, Inc. from our previous contract manufacturer, Key Tronic Corporation. We expect the transition to be fully completed by mid-2024.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for the years ended December 31, 2023 and 2022 (in thousands):</w:t>
      </w:r>
    </w:p>
    <w:tbl>
      <w:tblPr>
        <w:tblW w:w="7675" w:type="dxa"/>
        <w:jc w:val="left"/>
        <w:tblInd w:w="0" w:type="dxa"/>
        <w:tblLayout w:type="fixed"/>
        <w:tblCellMar>
          <w:top w:w="0" w:type="dxa"/>
          <w:left w:w="0" w:type="dxa"/>
          <w:bottom w:w="0" w:type="dxa"/>
          <w:right w:w="0" w:type="dxa"/>
        </w:tblCellMar>
      </w:tblPr>
      <w:tblGrid>
        <w:gridCol w:w="3736"/>
        <w:gridCol w:w="326"/>
        <w:gridCol w:w="211"/>
        <w:gridCol w:w="796"/>
        <w:gridCol w:w="326"/>
        <w:gridCol w:w="211"/>
        <w:gridCol w:w="796"/>
        <w:gridCol w:w="326"/>
        <w:gridCol w:w="211"/>
        <w:gridCol w:w="73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372360" cy="175260"/>
                      <wp:effectExtent l="0" t="0" r="0" b="0"/>
                      <wp:wrapNone/>
                      <wp:docPr id="22" name="Frame1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3"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4"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05460" cy="175260"/>
                      <wp:effectExtent l="0" t="0" r="0" b="0"/>
                      <wp:wrapNone/>
                      <wp:docPr id="25" name="Frame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6"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7"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5460" cy="175260"/>
                      <wp:effectExtent l="0" t="0" r="0" b="0"/>
                      <wp:wrapNone/>
                      <wp:docPr id="28" name="Frame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29"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0"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67360" cy="175260"/>
                      <wp:effectExtent l="0" t="0" r="0" b="0"/>
                      <wp:wrapNone/>
                      <wp:docPr id="31" name="Frame2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sales,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fixed asset impairment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(3,351)</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Nonoperating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5,222</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2023 Compared to Year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decrease in total net product sales was primarily attributable to lower Canada product sales. The decrease in Canada product sales resulted primarily from the inclusion of approximately $120 thousand of revenue recognized in connection with the delivery of the remaining 16 PoNS devices that had been included as noncash consideration in the Company’s acquisition of Heuro in the prior year sales. Other revenue for the years ended December 31, 2023 and 2022 was related to the amortization of the up-front payment we received in connection with agreements that contained an exclusive distribution right.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increase in cost of revenue was primarily attributable to fixed overhead costs, including salaries and benefits of employees involved in management of the supply chain and certain production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profit for the year ended December 31, 2023 was $61 thousand compared to gross profit of $324 thousand for the same period in the prior year. Reduced absorption of fixed overhead costs across the lower unit volume of PoNS device sales in 2023 as compared to the prior year was the primary reason for this decrease.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decrease in selling, general and administrative expenses was primarily from a $0.6 million decrease in stock-based compensation and a $0.6 million decrease in payroll taxes including the $0.5 million Employee Retention Credit claims we filed for the prior eligible periods. Refer to Note 9 to our consolidated financial statements for detailed information about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decrease in research and development expenses was driven primarily by decreases in product development expenses and clinical trial activities as we transitioned our focus from product development and clinical trials to U.S. commercialization activities beginning in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expense is primarily comprised of the amortization of acquired finite-lived intangible assets. The decrease in amortization expense is primarily due to certain intangible assets becoming fully amortized during the year ended December 31, 2023. Refer to Note 6 to our Consolidated Financial Statements for additional information about the composition of intangible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Goodwill and Fixed Asset Impairment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third quarter of 2023, we recorded an impairment of $0.2 million for certain machinery used in the production of our inventory. During the third quarter of 2022, we recorded a goodwill impairment charge of $0.8 million, reducing the goodwill balance to zero. Refer to Note 3 to our Consolidated Financial Statements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Nonoperating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 (Expense),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Net interest income for the year ended December 31, 2023 was primarily attributable to interest income earned on investments of excess cash in an unrestricted money market savings account, money market mutual funds, treasury bills and a certificate of deposit. We recorded $0.9 million of non-cash interest expense for the year ended December 31, 2022 in connection with the derivative liability classification of warrants issued in connection with the August 2022 Public Offering. Refer to Note 8 to our Consolidated Financial Statements for additional information. The interest expense for the year ended December 31, 2022 was offset by $0.1 million of interest income earned on investments of excess cash in an unrestricted money market savings account and a certificate of deposit.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Derivative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discussed in more detail in Note 8 to our Consolidated Financial Statements, the warrants issued in connection with the August 2022 Public Offering are being accounted for as a derivative liability instrument. The change in fair value of derivative liability for the year ended December 31, 2023 of $3.0 million is the result of the decrease in our stock price offset partially by reduced outstanding warrant exposure due to warrant exercises during the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Foreign Exchange (Loss) Gain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foreign exchange gain for the year ended December 31, 2023 was primarily due to lower Canadian to U.S. dollar exchange rates in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and cash equivalents and working capital as of December 31, 2023 and 2022 (in thousands):</w:t>
      </w:r>
    </w:p>
    <w:tbl>
      <w:tblPr>
        <w:tblW w:w="5026" w:type="dxa"/>
        <w:jc w:val="left"/>
        <w:tblInd w:w="0" w:type="dxa"/>
        <w:tblLayout w:type="fixed"/>
        <w:tblCellMar>
          <w:top w:w="0" w:type="dxa"/>
          <w:left w:w="0" w:type="dxa"/>
          <w:bottom w:w="0" w:type="dxa"/>
          <w:right w:w="0" w:type="dxa"/>
        </w:tblCellMar>
      </w:tblPr>
      <w:tblGrid>
        <w:gridCol w:w="2266"/>
        <w:gridCol w:w="326"/>
        <w:gridCol w:w="307"/>
        <w:gridCol w:w="833"/>
        <w:gridCol w:w="109"/>
        <w:gridCol w:w="252"/>
        <w:gridCol w:w="933"/>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38910" cy="175260"/>
                      <wp:effectExtent l="0" t="0" r="0" b="0"/>
                      <wp:wrapNone/>
                      <wp:docPr id="32" name="Frame2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3"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94945" cy="175260"/>
                      <wp:effectExtent l="0" t="0" r="0" b="0"/>
                      <wp:wrapNone/>
                      <wp:docPr id="34" name="Frame30"/>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28955" cy="175260"/>
                      <wp:effectExtent l="0" t="0" r="0" b="0"/>
                      <wp:wrapNone/>
                      <wp:docPr id="35" name="Frame31"/>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6"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60020" cy="175260"/>
                      <wp:effectExtent l="0" t="0" r="0" b="0"/>
                      <wp:wrapNone/>
                      <wp:docPr id="37" name="Frame3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92455" cy="175260"/>
                      <wp:effectExtent l="0" t="0" r="0" b="0"/>
                      <wp:wrapNone/>
                      <wp:docPr id="38" name="Frame3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14,549</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5,559</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14,709</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Our available capital resources have been primarily used to expand our U.S. commercialization efforts, fund manufacturing activities for the PoNS device, conduct clinical trials and for working capital and general corporate purposes. Our primary sources of cash and cash equivalents have been proceeds from public and private offerings of our common stock which most recently included $16.3 million in net proceeds we received from a public offering of our common stock and warrants completed in August 2022 (“August 2022 Public Offering”) as discussed in more detail in Note 8 to our Consolidated Financial Statements included our 2022 Annual Report on Form 10-K.</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As discussed in more detail in Note 8 to our Consolidated Financial Statements, the Company entered into a sales agreement related to our at-the-market offering program (“ATM”) under which we may offer and sell shares having gross proceeds up to $2.0 million. During the year ended December 31, 2023 the Company issued and sold shares with gross proceeds of $0.5 million under the ATM. In addition, the Company received gross proceeds of $0.6 million from the issuance of shares upon the exercise of warrants for the year ended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Statement of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year ended December 31, 2023 and 2022 (in thousands):</w:t>
      </w:r>
    </w:p>
    <w:tbl>
      <w:tblPr>
        <w:tblW w:w="8410" w:type="dxa"/>
        <w:jc w:val="left"/>
        <w:tblInd w:w="0" w:type="dxa"/>
        <w:tblLayout w:type="fixed"/>
        <w:tblCellMar>
          <w:top w:w="0" w:type="dxa"/>
          <w:left w:w="0" w:type="dxa"/>
          <w:bottom w:w="0" w:type="dxa"/>
          <w:right w:w="0" w:type="dxa"/>
        </w:tblCellMar>
      </w:tblPr>
      <w:tblGrid>
        <w:gridCol w:w="4366"/>
        <w:gridCol w:w="326"/>
        <w:gridCol w:w="211"/>
        <w:gridCol w:w="796"/>
        <w:gridCol w:w="326"/>
        <w:gridCol w:w="211"/>
        <w:gridCol w:w="796"/>
        <w:gridCol w:w="326"/>
        <w:gridCol w:w="211"/>
        <w:gridCol w:w="841"/>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772410" cy="175260"/>
                      <wp:effectExtent l="0" t="0" r="0" b="0"/>
                      <wp:wrapNone/>
                      <wp:docPr id="39" name="Frame35"/>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0"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1"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05460" cy="175260"/>
                      <wp:effectExtent l="0" t="0" r="0" b="0"/>
                      <wp:wrapNone/>
                      <wp:docPr id="42" name="Frame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3"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4"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05460" cy="175260"/>
                      <wp:effectExtent l="0" t="0" r="0" b="0"/>
                      <wp:wrapNone/>
                      <wp:docPr id="45" name="Frame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6"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7"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34035" cy="175260"/>
                      <wp:effectExtent l="0" t="0" r="0" b="0"/>
                      <wp:wrapNone/>
                      <wp:docPr id="48" name="Frame4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3,894</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(16,792)</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(decrease)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(12,911)</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lower level of cash used in operating activities in 2023 primarily resulted from decreases in selling, general and administrative expenses and research and development expenses as compared to 2022.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Investing Activities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Our investing activities are primarily related to the purchase of property and equipment.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Net Cash Provided by Financing Activities</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31, 2023, we received net proceeds of $0.4 million from the issuance and sale of shares under the ATM. In addition, we received $0.6 million in net proceeds from the exercise of warrants. During the year ended December 31, 2022, we received net proceeds of $17.9 million from the sale of shares primarily from our August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2022 public offering and to a lesser extent from the sale of shares to Lincoln Park Capital Fund, LLC, as described in Note 8 to our Consolidated Financial Statements.</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Cash Requirements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Our ability to generate product revenues sufficient to achieve profitability will depend heavily on the successful commercialization of PoNS Therapy in the U.S. Our net loss was $8.9 million and $14.1 million for the year ended December 31, 2023 and 2022, respectively. As of December 31, 2023, we had an accumulated deficit of $160.0 million. We expect to continue to incur significant expenses and operating losses for the foreseeable future. These and other factors indicate substantial doubt about our ability to continue as a going concern. Refer to Note 1 to our Consolidated Financial Statements for additional discussion about our going concern uncertainty.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intend to use our available capital resources primarily to expand our U.S. commercialization efforts, fund manufacturing activities for the PoNS device, conduct clinical trials and for working capital and general corporate purposes. We believe that our existing capital resources, including the $1.3 million of additional net proceeds from the ATM in 2024 through the date of this filing, will be sufficient to fund our operations through the second quarter of 2024,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 U.S. GAAP provides the framework from which to make these estimates, assumption and disclosures. We choose accounting policies within U.S. GAAP that management believes are appropriate to accurately and fairly report our operating results and financial position in a consistent manner. Management regularly assesses these policies in light of current and forecasted economic conditions. Actual results could differ from those estimates made by management. While there are a number of significant accounting policies affecting our financial statements, we believe the critical accounting policies involving the most complex, difficult and subjective estimates and judgments are: revenue recognition, stock-based compensation, derivative financial instruments and accounting for warrants.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generates nearly all of its revenue from product sales directly to patients, its e-commerce partner in the United States and to clinics in Canada. Revenue from product sales is recognized at a point in time as the performance obligation is satisfied and when the customer obtains control at the established transaction price. Taxes that the Company collects concurrent with revenue-producing activities are excluded from revenue.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Company requires some customers in the United States to prepay the full product selling price, net of cash discount, prior to shipment. The Company records a contract liability for any customer prepayment received for which delivery had not yet occurred as of the end of the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account for all stock-based payments and awards under the fair value-based method. We recognize our stock-based compensation expense using the straight-line method. Compensation cost is not adjusted for estimated forfeitures, but instead is adjusted upon an actual forfeiture of a stock option.</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account for the granting of stock options using the fair value method whereby all awards are measured at fair value on the date of the grant. The fair value of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use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Derivative Financial Instruments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evaluate our financial instruments and other contracts to determine if those contracts or embedded components of those contracts qualify as derivatives to be separately accounted for in accordance with ASC 815, Derivatives and Hedging. The result of this accounting treatment is that the fair value of the derivative is re-measured at each balance sheet date and recorded as a liability or asset and the change in fair value is recorded in the consolidated statements of operations and comprehensive loss. Upon settlement of a derivative financial instrument, the instrument is re-measured at the settlement date and then that fair value of the underlying instrument is reclassified to equity.</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 liabilities are classified in the consolidated balance sheet as current if the right to exercise or settle the derivative financial instrument lies with the holder.</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use the Monte Carlo and Black-Scholes option-pricing models to value derivative financial instrument liabilities. This model uses Level 3 inputs in the fair value hierarchy established by ASC 820 - Fair Value Measurement.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As of December 31, 2023, our derivative financial instruments accounted for in accordance with ASC 815 were comprised of warrants issued in connection with August 2022 Public Offering.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Accounting for Warrants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We have issued and may continue to issue warrants to purchase shares of common stock through our public and private offerings. We account for such warrants in accordance with ASC 480 Distinguishing Liabilities from Equity, which identifies three categories of freestanding financial instruments that are required to be accounted for as a liability. If determined to be classified as a liability, we will remeasure the fair value of the warrants at each balance sheet date. If determined to be classified as equity, the fair value of the warrants will be measured as of the date of issuance and will not be subject to remeasurement at each balance sheet date.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fair value of the warrants is estimated using the Black-Scholes option pricing model, based on the market value of the underlying common stock at the measurement dates, the contractual terms of the warrants, risk-free interest rates and expected volatility of the price of the underlying common stock. There are no expected dividends.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account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We record a valuation allowance to reduce deferred tax assets to the amount that is believed more likely than not to be realized.</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have adopted the provisions of ASC 740 Income Taxes regarding accounting for uncertainty in income taxes. We initially recognize tax positions in the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We consider many factors when evaluating and estimating its tax positions and tax benefits. These periodic adjustments may have a material impact on the consolidated statements of operations and comprehensive loss. When applicable, we classify penalties and interest associated with uncertain tax positions as a component of income tax expense in its consolidated statements of operations and comprehensive loss.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Because we have generated limited revenues from commercialization, our operations to date have been principally financed through public and private offerings of our common stock and convertible debt and exercises of options and warrants. There are a number of conditions that we must satisfy before we will be able to generate sufficient revenue to fund our operations, including but not limited to the successful commercialization of the PoNS device in the U.S.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These factors raise substantial doubt about our ability to continue as a going concern through at least 12 months from the date of this Form 10-K. While we had $5.2 million of cash as of December 31, 2023, we do not currently have sufficient resources to accomplish all of the above conditions necessary for us to generate sufficient revenues to achieve profitability, and we expect that we will require additional financing to continue to fund our operations. There is no guarantee that such funding will be available at all or in sufficient amounts to satisfy our required expenditures. In reviewing this filing, you should carefully consider this uncertainty, the risks described in the section entitled “Item 1A. Risk Factors” and other risks described throughout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Information regarding recently issued accounting pronouncements is included in Note 2 to the Consolidated Financial Statements.</w:t>
      </w:r>
    </w:p>
    <w:p>
      <w:pPr>
        <w:pStyle w:val="Normal"/>
        <w:bidi w:val="0"/>
        <w:spacing w:before="0" w:after="0"/>
        <w:jc w:val="left"/>
        <w:rPr>
          <w:sz w:val="4"/>
          <w:szCs w:val="4"/>
        </w:rPr>
      </w:pPr>
      <w:r>
        <w:rPr>
          <w:sz w:val="4"/>
          <w:szCs w:val="4"/>
        </w:rPr>
      </w:r>
      <w:bookmarkStart w:id="66" w:name="ITEM7AQUANTITATIVEANDQUALITATIVEDISCLOSU"/>
      <w:bookmarkStart w:id="67" w:name="_e7e9e777_2481_4b91_8cd1_48b601fc90a4"/>
      <w:bookmarkStart w:id="68" w:name="ITEM7AQUANTITATIVEANDQUALITATIVEDISCLOSU"/>
      <w:bookmarkStart w:id="69" w:name="_e7e9e777_2481_4b91_8cd1_48b601fc90a4"/>
      <w:bookmarkEnd w:id="68"/>
      <w:bookmarkEnd w:id="69"/>
    </w:p>
    <w:tbl>
      <w:tblPr>
        <w:tblW w:w="8072" w:type="dxa"/>
        <w:jc w:val="left"/>
        <w:tblInd w:w="0" w:type="dxa"/>
        <w:tblLayout w:type="fixed"/>
        <w:tblCellMar>
          <w:top w:w="0" w:type="dxa"/>
          <w:left w:w="0" w:type="dxa"/>
          <w:bottom w:w="0" w:type="dxa"/>
          <w:right w:w="0" w:type="dxa"/>
        </w:tblCellMar>
      </w:tblPr>
      <w:tblGrid>
        <w:gridCol w:w="976"/>
        <w:gridCol w:w="7096"/>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7A.</w:t>
            </w:r>
          </w:p>
        </w:tc>
        <w:tc>
          <w:tcPr>
            <w:tcW w:w="7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0" w:name="ITEM8FINANCIALSTATEMENTSANDSUPPLEMENTARY"/>
      <w:bookmarkStart w:id="71" w:name="_1738856a_7e90_4171_851a_3a7b4730b5b5"/>
      <w:bookmarkStart w:id="72" w:name="ITEM8FINANCIALSTATEMENTSANDSUPPLEMENTARY"/>
      <w:bookmarkStart w:id="73" w:name="_1738856a_7e90_4171_851a_3a7b4730b5b5"/>
      <w:bookmarkEnd w:id="72"/>
      <w:bookmarkEnd w:id="73"/>
    </w:p>
    <w:tbl>
      <w:tblPr>
        <w:tblW w:w="6272" w:type="dxa"/>
        <w:jc w:val="left"/>
        <w:tblInd w:w="0" w:type="dxa"/>
        <w:tblLayout w:type="fixed"/>
        <w:tblCellMar>
          <w:top w:w="0" w:type="dxa"/>
          <w:left w:w="0" w:type="dxa"/>
          <w:bottom w:w="0" w:type="dxa"/>
          <w:right w:w="0" w:type="dxa"/>
        </w:tblCellMar>
      </w:tblPr>
      <w:tblGrid>
        <w:gridCol w:w="841"/>
        <w:gridCol w:w="5431"/>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8.</w:t>
            </w:r>
          </w:p>
        </w:tc>
        <w:tc>
          <w:tcPr>
            <w:tcW w:w="54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FINANCIAL STATEMENTS AND SUPPLEMENTARY DATA</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by this item is included in this Form 10-K beginning on page F-1 and is incorporated herein by reference.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4" w:name="ITEM9CHANGESINANDDISAGREEMENTSWITHACCOUN"/>
      <w:bookmarkStart w:id="75" w:name="_d52f23ad_5a49_4c8b_8f3e_cb3c3701ea97"/>
      <w:bookmarkStart w:id="76" w:name="ITEM9CHANGESINANDDISAGREEMENTSWITHACCOUN"/>
      <w:bookmarkStart w:id="77" w:name="_d52f23ad_5a49_4c8b_8f3e_cb3c3701ea97"/>
      <w:bookmarkEnd w:id="76"/>
      <w:bookmarkEnd w:id="77"/>
    </w:p>
    <w:tbl>
      <w:tblPr>
        <w:tblW w:w="10205" w:type="dxa"/>
        <w:jc w:val="left"/>
        <w:tblInd w:w="0" w:type="dxa"/>
        <w:tblLayout w:type="fixed"/>
        <w:tblCellMar>
          <w:top w:w="0" w:type="dxa"/>
          <w:left w:w="0" w:type="dxa"/>
          <w:bottom w:w="0" w:type="dxa"/>
          <w:right w:w="0" w:type="dxa"/>
        </w:tblCellMar>
      </w:tblPr>
      <w:tblGrid>
        <w:gridCol w:w="836"/>
        <w:gridCol w:w="9369"/>
      </w:tblGrid>
      <w:tr>
        <w:trPr/>
        <w:tc>
          <w:tcPr>
            <w:tcW w:w="8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w:t>
            </w:r>
          </w:p>
        </w:tc>
        <w:tc>
          <w:tcPr>
            <w:tcW w:w="9369"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CHANGES IN AND DISAGREEMENTS WITH ACCOUNTANTS ON ACCOUNTING AND FINANCIAL DISCLOSURE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8" w:name="ITEM9ACONTROLSANDPROCEDURES_450043"/>
      <w:bookmarkStart w:id="79" w:name="_c3a9c586_7c6e_4df8_a287_cbe17819743b"/>
      <w:bookmarkStart w:id="80" w:name="ITEM9ACONTROLSANDPROCEDURES_450043"/>
      <w:bookmarkStart w:id="81" w:name="_c3a9c586_7c6e_4df8_a287_cbe17819743b"/>
      <w:bookmarkEnd w:id="80"/>
      <w:bookmarkEnd w:id="81"/>
    </w:p>
    <w:tbl>
      <w:tblPr>
        <w:tblW w:w="4022" w:type="dxa"/>
        <w:jc w:val="left"/>
        <w:tblInd w:w="0" w:type="dxa"/>
        <w:tblLayout w:type="fixed"/>
        <w:tblCellMar>
          <w:top w:w="0" w:type="dxa"/>
          <w:left w:w="0" w:type="dxa"/>
          <w:bottom w:w="0" w:type="dxa"/>
          <w:right w:w="0" w:type="dxa"/>
        </w:tblCellMar>
      </w:tblPr>
      <w:tblGrid>
        <w:gridCol w:w="976"/>
        <w:gridCol w:w="3046"/>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9A.</w:t>
            </w:r>
          </w:p>
        </w:tc>
        <w:tc>
          <w:tcPr>
            <w:tcW w:w="30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Rule 13a-15(b) under the Securities Exchange Act of 1934, as amended, or the Exchange Act, under the direction of the Chief Executive Officer and the Chief Financial Officer, we have evaluated our disclosure controls and procedures as defined in Rule 13a-15(e) or 15d-15(e) as of the end of the period covered by this Form 10-K. Based on this evaluation, our Chief Executive Officer and Chief Financial Officer have concluded that our disclosure controls and procedures were effective as of the end of the period covered by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responsible for establishing and maintaining adequate internal controls over financial reporting. Our management assessed the effectiveness of our internal controls over financial reporting as of December 31, 2023. In making this assessment, our management used the criteria described in Internal Control—Integrated Framework (2013), issued by the Committee of Sponsoring Organizations of the Treadway Commission and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principal executive officer and our principal financial officer, concluded that, as of December 31, 2023, our internal control over financial reporting was effective.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Form 10-K does not include an attestation report of our independent registered public accounting firm regarding internal control over financial reporting as required by Section 404(b) of the Sarbanes Oxley Act of 2002. As a non-accelerated filer, our management’s report was not subject to attestation by our registered public accounting firm pursuant to rules of the SEC that permit us to provide only management’s report in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monitor our internal control over financial reporting on a continuous basis. There has not been any change in our internal control over financial reporting identified in connection with the evaluation required by Rule 13a-15(d) and 15d-15(d) under the Exchange Act that occurred during the year ended December 31, 2023 which has materially affected, or is reasonably likely to materially affect, our internal control over financial reporting.</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82" w:name="ITEM9BOTHERINFORMATION_495064"/>
      <w:bookmarkStart w:id="83" w:name="_2dfd217e_af65_4f32_9d76_6e8863f8627c"/>
      <w:bookmarkStart w:id="84" w:name="ITEM9BOTHERINFORMATION_495064"/>
      <w:bookmarkStart w:id="85" w:name="_2dfd217e_af65_4f32_9d76_6e8863f8627c"/>
      <w:bookmarkEnd w:id="84"/>
      <w:bookmarkEnd w:id="85"/>
    </w:p>
    <w:tbl>
      <w:tblPr>
        <w:tblW w:w="3302" w:type="dxa"/>
        <w:jc w:val="left"/>
        <w:tblInd w:w="0" w:type="dxa"/>
        <w:tblLayout w:type="fixed"/>
        <w:tblCellMar>
          <w:top w:w="0" w:type="dxa"/>
          <w:left w:w="0" w:type="dxa"/>
          <w:bottom w:w="0" w:type="dxa"/>
          <w:right w:w="0" w:type="dxa"/>
        </w:tblCellMar>
      </w:tblPr>
      <w:tblGrid>
        <w:gridCol w:w="976"/>
        <w:gridCol w:w="2326"/>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9B.</w:t>
            </w:r>
          </w:p>
        </w:tc>
        <w:tc>
          <w:tcPr>
            <w:tcW w:w="23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86" w:name="ITEM9CDISCLOSUREREGARDINGFOREIGNJURISDIC"/>
      <w:bookmarkStart w:id="87" w:name="_60216a6f_dbe0_49eb_a5e6_9e44ab2a9f8a"/>
      <w:bookmarkStart w:id="88" w:name="ITEM9CDISCLOSUREREGARDINGFOREIGNJURISDIC"/>
      <w:bookmarkStart w:id="89" w:name="_60216a6f_dbe0_49eb_a5e6_9e44ab2a9f8a"/>
      <w:bookmarkEnd w:id="88"/>
      <w:bookmarkEnd w:id="89"/>
    </w:p>
    <w:tbl>
      <w:tblPr>
        <w:tblW w:w="9017" w:type="dxa"/>
        <w:jc w:val="left"/>
        <w:tblInd w:w="0" w:type="dxa"/>
        <w:tblLayout w:type="fixed"/>
        <w:tblCellMar>
          <w:top w:w="0" w:type="dxa"/>
          <w:left w:w="0" w:type="dxa"/>
          <w:bottom w:w="0" w:type="dxa"/>
          <w:right w:w="0" w:type="dxa"/>
        </w:tblCellMar>
      </w:tblPr>
      <w:tblGrid>
        <w:gridCol w:w="976"/>
        <w:gridCol w:w="8041"/>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9C.</w:t>
            </w:r>
          </w:p>
        </w:tc>
        <w:tc>
          <w:tcPr>
            <w:tcW w:w="80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DISCLOSURE REGARDING FOREIGN JURISDICTIONS THAT PREVENT INSPECTIONS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0" w:name="PARTIII_530403"/>
      <w:bookmarkStart w:id="91" w:name="_d72a90e6_8a0f_43e9_9ed3_a3fd2f4c2211"/>
      <w:bookmarkEnd w:id="90"/>
      <w:bookmarkEnd w:id="91"/>
      <w:r>
        <w:rPr>
          <w:rFonts w:ascii="Times New Roman;Times;serif" w:hAnsi="Times New Roman;Times;serif"/>
          <w:b/>
          <w:sz w:val="20"/>
        </w:rPr>
        <w:t>PART III</w:t>
      </w:r>
    </w:p>
    <w:p>
      <w:pPr>
        <w:pStyle w:val="Normal"/>
        <w:bidi w:val="0"/>
        <w:spacing w:before="0" w:after="0"/>
        <w:jc w:val="left"/>
        <w:rPr>
          <w:sz w:val="4"/>
          <w:szCs w:val="4"/>
        </w:rPr>
      </w:pPr>
      <w:r>
        <w:rPr>
          <w:sz w:val="4"/>
          <w:szCs w:val="4"/>
        </w:rPr>
      </w:r>
      <w:bookmarkStart w:id="92" w:name="ITEM10DIRECTORSEXECUTIVEOFFICERSANDCORPO"/>
      <w:bookmarkStart w:id="93" w:name="ITEM10DIRECTORSEXECUTIVEOFFICERSANDCORPO"/>
      <w:bookmarkEnd w:id="93"/>
    </w:p>
    <w:tbl>
      <w:tblPr>
        <w:tblW w:w="7652" w:type="dxa"/>
        <w:jc w:val="left"/>
        <w:tblInd w:w="0" w:type="dxa"/>
        <w:tblLayout w:type="fixed"/>
        <w:tblCellMar>
          <w:top w:w="0" w:type="dxa"/>
          <w:left w:w="0" w:type="dxa"/>
          <w:bottom w:w="0" w:type="dxa"/>
          <w:right w:w="0" w:type="dxa"/>
        </w:tblCellMar>
      </w:tblPr>
      <w:tblGrid>
        <w:gridCol w:w="946"/>
        <w:gridCol w:w="6706"/>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10.</w:t>
            </w:r>
          </w:p>
        </w:tc>
        <w:tc>
          <w:tcPr>
            <w:tcW w:w="6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DIRECTORS, EXECUTIVE OFFICERS AND CORPORATE GOVERNANCE</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Directors and Executive Officers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information as to each person who is, as of the filing hereof, a director and/or executive officer of the Company. Officers are appointed by our Board of Directors and serve at the discretion of our Board of Directors, subject to applicable employment agreements:</w:t>
      </w:r>
    </w:p>
    <w:p>
      <w:pPr>
        <w:pStyle w:val="TextBody"/>
        <w:bidi w:val="0"/>
        <w:spacing w:before="0" w:after="240"/>
        <w:ind w:left="0" w:right="0" w:hanging="0"/>
        <w:jc w:val="left"/>
        <w:rPr/>
      </w:pPr>
      <w:r>
        <w:rPr/>
        <w:t>​</w:t>
      </w:r>
    </w:p>
    <w:tbl>
      <w:tblPr>
        <w:tblW w:w="8455" w:type="dxa"/>
        <w:jc w:val="left"/>
        <w:tblInd w:w="0" w:type="dxa"/>
        <w:tblLayout w:type="fixed"/>
        <w:tblCellMar>
          <w:top w:w="0" w:type="dxa"/>
          <w:left w:w="0" w:type="dxa"/>
          <w:bottom w:w="0" w:type="dxa"/>
          <w:right w:w="0" w:type="dxa"/>
        </w:tblCellMar>
      </w:tblPr>
      <w:tblGrid>
        <w:gridCol w:w="2671"/>
        <w:gridCol w:w="326"/>
        <w:gridCol w:w="4696"/>
        <w:gridCol w:w="326"/>
        <w:gridCol w:w="43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696085" cy="175260"/>
                      <wp:effectExtent l="0" t="0" r="0" b="0"/>
                      <wp:wrapNone/>
                      <wp:docPr id="49" name="Frame45"/>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0"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981960" cy="175260"/>
                      <wp:effectExtent l="0" t="0" r="0" b="0"/>
                      <wp:wrapNone/>
                      <wp:docPr id="51" name="Frame47"/>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2"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76860" cy="175260"/>
                      <wp:effectExtent l="0" t="0" r="0" b="0"/>
                      <wp:wrapNone/>
                      <wp:docPr id="53" name="Frame4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    </w:t>
            </w:r>
          </w:p>
        </w:tc>
        <w:tc>
          <w:tcPr>
            <w:tcW w:w="46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Position(s)</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Age</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Blane Walter</w:t>
            </w:r>
          </w:p>
        </w:tc>
        <w:tc>
          <w:tcPr>
            <w:tcW w:w="326" w:type="dxa"/>
            <w:tcBorders/>
            <w:shd w:fill="CCEEFF" w:val="clear"/>
            <w:vAlign w:val="center"/>
          </w:tcPr>
          <w:p>
            <w:pPr>
              <w:pStyle w:val="TableContents"/>
              <w:bidi w:val="0"/>
              <w:spacing w:before="0" w:after="1"/>
              <w:ind w:left="0" w:right="0" w:hanging="0"/>
              <w:jc w:val="left"/>
              <w:rPr/>
            </w:pPr>
            <w:r>
              <w:rPr/>
              <w:t> </w:t>
            </w:r>
          </w:p>
        </w:tc>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Chairman</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326" w:type="dxa"/>
            <w:tcBorders/>
            <w:vAlign w:val="center"/>
          </w:tcPr>
          <w:p>
            <w:pPr>
              <w:pStyle w:val="TableContents"/>
              <w:bidi w:val="0"/>
              <w:spacing w:before="0" w:after="1"/>
              <w:ind w:left="0" w:right="0" w:hanging="0"/>
              <w:jc w:val="left"/>
              <w:rPr/>
            </w:pPr>
            <w:r>
              <w:rPr/>
              <w:t> </w:t>
            </w:r>
          </w:p>
        </w:tc>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Chief Executive Officer and President</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326" w:type="dxa"/>
            <w:tcBorders/>
            <w:shd w:fill="CCEEFF" w:val="clear"/>
            <w:vAlign w:val="center"/>
          </w:tcPr>
          <w:p>
            <w:pPr>
              <w:pStyle w:val="TableContents"/>
              <w:bidi w:val="0"/>
              <w:spacing w:before="0" w:after="1"/>
              <w:ind w:left="0" w:right="0" w:hanging="0"/>
              <w:jc w:val="left"/>
              <w:rPr/>
            </w:pPr>
            <w:r>
              <w:rPr/>
              <w:t> </w:t>
            </w:r>
          </w:p>
        </w:tc>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Chief Financial Officer, Treasurer and Secretary</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63</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Antonella Favit-Van Pelt, Ph.D.</w:t>
            </w:r>
          </w:p>
        </w:tc>
        <w:tc>
          <w:tcPr>
            <w:tcW w:w="326" w:type="dxa"/>
            <w:tcBorders/>
            <w:vAlign w:val="center"/>
          </w:tcPr>
          <w:p>
            <w:pPr>
              <w:pStyle w:val="TableContents"/>
              <w:bidi w:val="0"/>
              <w:spacing w:before="0" w:after="1"/>
              <w:ind w:left="0" w:right="0" w:hanging="0"/>
              <w:jc w:val="left"/>
              <w:rPr/>
            </w:pPr>
            <w:r>
              <w:rPr/>
              <w:t> </w:t>
            </w:r>
          </w:p>
        </w:tc>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Medical Officer</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Paul Buckman</w:t>
            </w:r>
          </w:p>
        </w:tc>
        <w:tc>
          <w:tcPr>
            <w:tcW w:w="326" w:type="dxa"/>
            <w:tcBorders/>
            <w:shd w:fill="CCEEFF" w:val="clear"/>
            <w:vAlign w:val="center"/>
          </w:tcPr>
          <w:p>
            <w:pPr>
              <w:pStyle w:val="TableContents"/>
              <w:bidi w:val="0"/>
              <w:spacing w:before="0" w:after="1"/>
              <w:ind w:left="0" w:right="0" w:hanging="0"/>
              <w:jc w:val="left"/>
              <w:rPr/>
            </w:pPr>
            <w:r>
              <w:rPr/>
              <w:t> </w:t>
            </w:r>
          </w:p>
        </w:tc>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Sherrie Perkins</w:t>
            </w:r>
          </w:p>
        </w:tc>
        <w:tc>
          <w:tcPr>
            <w:tcW w:w="326" w:type="dxa"/>
            <w:tcBorders/>
            <w:vAlign w:val="center"/>
          </w:tcPr>
          <w:p>
            <w:pPr>
              <w:pStyle w:val="TableContents"/>
              <w:bidi w:val="0"/>
              <w:spacing w:before="0" w:after="1"/>
              <w:ind w:left="0" w:right="0" w:hanging="0"/>
              <w:jc w:val="left"/>
              <w:rPr/>
            </w:pPr>
            <w:r>
              <w:rPr/>
              <w:t> </w:t>
            </w:r>
          </w:p>
        </w:tc>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69</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Edward M. Straw</w:t>
            </w:r>
          </w:p>
        </w:tc>
        <w:tc>
          <w:tcPr>
            <w:tcW w:w="326" w:type="dxa"/>
            <w:tcBorders/>
            <w:shd w:fill="CCEEFF" w:val="clear"/>
            <w:vAlign w:val="center"/>
          </w:tcPr>
          <w:p>
            <w:pPr>
              <w:pStyle w:val="TableContents"/>
              <w:bidi w:val="0"/>
              <w:spacing w:before="0" w:after="1"/>
              <w:ind w:left="0" w:right="0" w:hanging="0"/>
              <w:jc w:val="left"/>
              <w:rPr/>
            </w:pPr>
            <w:r>
              <w:rPr/>
              <w:t> </w:t>
            </w:r>
          </w:p>
        </w:tc>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 Family Relationships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is no family relationship between any director and executive officer or among any directors or executive officers.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Business Experience and Background of Directors and Executive Officers </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Blane Walter </w:t>
      </w:r>
      <w:r>
        <w:rPr>
          <w:rFonts w:ascii="Times New Roman;Times;serif" w:hAnsi="Times New Roman;Times;serif"/>
          <w:sz w:val="20"/>
        </w:rPr>
        <w:t>has served as a member of our Board of Directors since December 2015 and as Chairman of the Board since August 2020. Mr. Walter is a partner at Talisman Capital Partners, a position he has held since 2011. In 1999, Mr. Walter founded inChord Communications, Inc., a global private healthcare communications company, which was acquired by inVentiv Health in 2005. Mr. Walter joined inVentiv Health as president of the Communications division in 2005 and was named Chief Executive Officer in 2008 and served in that capacity until leading the sale of the company to Thomas H. Lee Partners in 2010. Following the buyout, Mr. Walter served as vice chairman of inVentiv Group, a holding company which survived the buyout, from 2011 to August 2017. Mr. Walter received a B.S. in marketing and finance from Boston College in 1993. Our Board believes that Mr. Walter is qualified to serve as director based on his background in the healthcare and pharmaceutical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Dane C. Andreeff </w:t>
      </w:r>
      <w:r>
        <w:rPr>
          <w:rFonts w:ascii="Times New Roman;Times;serif" w:hAnsi="Times New Roman;Times;serif"/>
          <w:sz w:val="20"/>
        </w:rPr>
        <w:t>served as our Interim President and Chief Executive Officer from August 2020 until June 2021 when he was appointed President and Chief Executive Officer. He has served as a member of our Board of Directors since August 2017. Mr. Andreeff is the General Partner and Portfolio Manager at Maple Leaf Partners, LP. Maple Leaf Partners, LP is a hedge fund founded by Mr. Andreeff, where he has been employed since 1996. In 2003, the fund was seeded by Julian Robertson’s Tiger Management and later grew to over $2 billion in assets under management. Mr. Andreeff also serves as a member of the board of directors of privately-held HDL Therapeutics, Inc. and Myocardial Solutions, Ltd. Mr. Andreeff received his Bachelor’s degree in Economics from the University of Texas at Arlington in 1989 and his Master’s degree in Economics from the University of Texas at Arlington in 1991. Our Board believes that Mr. Andreeff’s extensive experience in the investment industry and capital markets and significant experience advising other companies as a board member, including multiple companies in the healthcare sector, make him a valuable member of the Board.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Jeffrey S. Mathiesen </w:t>
      </w:r>
      <w:r>
        <w:rPr>
          <w:rFonts w:ascii="Times New Roman;Times;serif" w:hAnsi="Times New Roman;Times;serif"/>
          <w:sz w:val="20"/>
        </w:rPr>
        <w:t xml:space="preserve">has served as Chief Financial Officer, Treasurer and Secretary of the Company since June 2021. Mr. Mathiesen also has served as a member of the Board of Directors since May 2022 and previously served as a member of our Board of Directors from June 2020 to June 2021. Additionally, Mr. Mathiesen has served as Vice Chair and Lead Independent Director since March 2020 and as Director and Audit Committee Chair, since 2015, of Panbela Therapeutics, Inc. (Nasdaq: PBLA), a publicly traded biopharmaceutical company developing therapies for pancreatic diseases, and as a director and Audit Committee Chair of NeuroOne Medical Technologies Corporation (Nasdaq: NMTC), a publicly traded medical technology company focused on improving surgical care options and outcomes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patients suffering from neurological disorders, since 2017, and Healthcare Triangle, Inc. (Nasdaq: HCTI), a publicly traded provider of cloud and data transformation platform and solutions for healthcare and life sciences, from March 2021 to December 2021, and eNeura, Inc., a privately held medical technology company providing therapy for both acute treatment and prevention of migraine, from 2018 to 2020. Mr. Mathiesen served as Advisor to the CEO of Teewinot Life Sciences Corporation, a privately held global leader in the biosynthetic development and production of cannabinoids and their derivatives for consumer and pharmaceutical products, from October 2019 to December 2019, and served as Chief Financial Officer from March 2019 to October 2019. In August 2020, Teewinot Life Insurance Sciences filed a voluntary petition under Chapter 11 of the United Stated Bankruptcy Code. Mr. Mathiesen previously served as Chief Financial Officer of Gemphire Therapeutics Inc., which was acquired by NeuroBo Pharmaceuticals, Inc. (Nasdaq: NRBO) in January 2020, a publicly-held clinical-stage biopharmaceutical company developing therapies for patients with cardiometabolic disorders, from 2015 to 2018, and as Chief Financial Officer of Sunshine Heart, Inc. (Nasdaq: CHFS), a publicly-held early-stage medical device company, from 2011 to 2015. Mr. Mathiesen received a B.S. in Accounting from the University of South Dakota and is a Certified Public Accountant. Our Board believes that Mr. Mathiesen is qualified to serve as a director based on his background in a broad range of responsibilities in financial and operational roles, including manufacturing, quality and procurement, in addition to traditional CFO roles in organizations with operations in North America, Europe, Southeast Asia and Australia.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Antonella Favit-Van Pelt , Ph.D. </w:t>
      </w:r>
      <w:r>
        <w:rPr>
          <w:rFonts w:ascii="Times New Roman;Times;serif" w:hAnsi="Times New Roman;Times;serif"/>
          <w:sz w:val="20"/>
        </w:rPr>
        <w:t>has served as Chief Medical Officer of the Company since July 2021. Prior to joining the Company, Dr. Favit-Van Pelt led U.S. Medical Strategy for the Neurology program of H. Lundbeck A/S (LUN.CO, LUN DC, HLUYY), a global pharmaceutical company that specializes in the treatment of brain diseases, from 2018 to 2021. In this position, she oversaw the U.S. medical and life-cycle program activities related to therapies for movement disorders and epilepsy. In 2013, Dr. Favit-Van Pelt founded Synaerion Therapeutics (“</w:t>
      </w:r>
      <w:r>
        <w:rPr>
          <w:rFonts w:ascii="Times New Roman;Times;serif" w:hAnsi="Times New Roman;Times;serif"/>
          <w:b/>
          <w:i/>
          <w:sz w:val="20"/>
        </w:rPr>
        <w:t>Synaerion</w:t>
      </w:r>
      <w:r>
        <w:rPr>
          <w:rFonts w:ascii="Times New Roman;Times;serif" w:hAnsi="Times New Roman;Times;serif"/>
          <w:sz w:val="20"/>
        </w:rPr>
        <w:t>”) and, in 2016, its affiliate Thera Neuropharma, Inc. (“</w:t>
      </w:r>
      <w:r>
        <w:rPr>
          <w:rFonts w:ascii="Times New Roman;Times;serif" w:hAnsi="Times New Roman;Times;serif"/>
          <w:b/>
          <w:i/>
          <w:sz w:val="20"/>
        </w:rPr>
        <w:t>Thera</w:t>
      </w:r>
      <w:r>
        <w:rPr>
          <w:rFonts w:ascii="Times New Roman;Times;serif" w:hAnsi="Times New Roman;Times;serif"/>
          <w:sz w:val="20"/>
        </w:rPr>
        <w:t>”), two privately-held biotechnology companies developing a small molecule regenerative therapy and RNAi-based integrated technology platform for ALS and traumatic brain injury. She oversaw all aspects of Synaerion’s and Thera’s management and strategy as Chief Executive Officer, President &amp; Chairwoman of the Board from 2014 to 2017 and she continues to serve as President &amp; Chairwoman. In 2009, she founded StratMedica, LLC, a privately-held company designed to provide corporate clients with contract senior management support. As Principal of StratMedica from 2009 to 2016, she directed clinical development and medical programs for eight healthcare companies, including Johnson &amp; Johnson (NYSE: JNJ) and Teva (NYSE: TEVA). Dr. Favit-Van Pelt served as Senior Director and Global Medical Lead at Shire Pharmaceuticals (Nasdaq: SPHG) from 2007 to 2008, as Director of Medical Strategy at Bristol-Myers Squibb (NYSE: BMY) from 2005 to 2007, and as Global Clinical Development Lead at GE Healthcare (formerly Amersham Health) from 2001 to 2005. Dr. Favit-Van Pelt is a Board-certified neurologist who began clinical practice activity in 1994, with a focus on patients with rare neuromuscular disorders. She holds a graduate degree in Medicine and Surgery and a Ph.D. in Pharmacology from the School of Medicine and Surgery at the University of Catania, Italy.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Paul Buckman </w:t>
      </w:r>
      <w:r>
        <w:rPr>
          <w:rFonts w:ascii="Times New Roman;Times;serif" w:hAnsi="Times New Roman;Times;serif"/>
          <w:sz w:val="20"/>
        </w:rPr>
        <w:t xml:space="preserve">has served as a member of our Board of Directors since September 2021. Mr. Buckman has served as the President of North America for LivaNova PLC (Nasdaq: LIVN) since April 2019 and previously served as the General Manager of Structural Heart for LivaNova PLC from April 2017 to December 2019. Prior to joining LivaNova PLC, Mr. Buckman served as chief executive officer of Conventus Orthopaedics, a Minnesota-based company specializing in peri-articular bone fracture fixation, from September 2013 until March of 2017. Mr. Buckman was chief executive officer of Sentreheart, Inc., a medical technology company focused on closure of various anatomic structures, from February 2012 to September 2013. Previously, Mr. Buckman served as chief executive officer and chairman of Pathway Medical Technologies, Inc., a medical device company focused on treatment of peripheral arterial disease, from September 2008 to February 2012; as chief executive officer of Devax, Inc., a developer and manufacturer of drug eluting stents, from December 2006 to September 2008; as president of the cardiology division of St. Jude Medical, Inc., a publicly traded diversified medical products company, from August 2004 to December 2006; and as chairman of the board of directors and chief executive officer of ev3, LLC, a Minnesota-based medical device company focused on endovascular therapies that Mr. Buckman founded and developed into an $80 million business, from January 2001 to January 2004. Mr. Buckman has worked in the medical device industry for over 30 years, including 10 years at Scimed Life Systems, Inc. and Boston Scientific Corporation (NYSE: BSX), a publicly traded medical device manufacturer, where he held several executive positions before becoming president of the cardiology division of Boston Scientific in January 2000. Mr. Buckman also currently serves as a director for Ablative Solutions, Inc., ActivOrtho, Shoulder Innovations, and as chairman of Miromatrix, Inc. and NeuroOne Medical Technologies Corporation (Nasdaq:NMTC). He previously served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director of Conventus Orthopaedics, Caisson Interventional LLC, Velocimed, Inc., where he was a co-founder, EndiCor, Inc., Microvena, Inc., Sunshine Heart, Inc., n/k/a Nuwellis, Inc. (Nasdaq: NUWE), a publicly-held early-stage medical device company, NexGen Medical, Micro Therapeutics, Inc., and as chairman of the board of NeuroOne, Inc. Our Board believes that Mr. Buckman is qualified to serve as director based on his background in the healthcare and pharmaceutical industries.</w:t>
      </w:r>
    </w:p>
    <w:p>
      <w:pPr>
        <w:pStyle w:val="TextBody"/>
        <w:bidi w:val="0"/>
        <w:spacing w:before="0" w:after="240"/>
        <w:ind w:left="0" w:right="0" w:hanging="0"/>
        <w:jc w:val="left"/>
        <w:rPr>
          <w:rFonts w:ascii="Times New Roman;Times;serif" w:hAnsi="Times New Roman;Times;serif"/>
          <w:sz w:val="20"/>
        </w:rPr>
      </w:pPr>
      <w:bookmarkStart w:id="94" w:name="ny20002715x2_def14a_105-prop1_pg3"/>
      <w:bookmarkEnd w:id="94"/>
      <w:r>
        <w:rPr>
          <w:rFonts w:ascii="Times New Roman;Times;serif" w:hAnsi="Times New Roman;Times;serif"/>
          <w:b/>
          <w:i/>
          <w:sz w:val="20"/>
        </w:rPr>
        <w:t>Sherrie Perkins</w:t>
      </w:r>
      <w:r>
        <w:rPr>
          <w:rFonts w:ascii="Times New Roman;Times;serif" w:hAnsi="Times New Roman;Times;serif"/>
          <w:sz w:val="20"/>
        </w:rPr>
        <w:t xml:space="preserve"> has served as a member of our Board of Directors since March 2021. Ms. Perkins has served in the University of Texas MD Anderson Cancer Center’s Venture Mentoring Service since 2017 providing guidance and perspective on commercialization-related topics that are important and relevant to the progression of various ventures. Ms. Perkins also served as an independent member of the board of directors of eNeura, Inc., a privately held medical technology company providing therapy for both acute treatment and prevention of migraines, from 2018 to 2020. Ms. Perkins served as a consultant to LivaNova, PLC (Nasdaq: LIVN), a publicly-held global medical technology company that creates innovative and meaningful medical solutions for the benefit of patients, healthcare professionals, and healthcare systems, from January 2017 to June 2019, and served as Vice President in the sleep apnea, new ventures space within LivaNova from October 2015 to January 2017. Ms. Perkins previously served as Vice President of Marketing and New Business Development of Cyberonics, Inc., an affiliate of LivaNova, from November 2011 to October 2015. Ms. Perkins received a B.S. in Medical Technology from Mississippi State University and an M.A. in Management from Central Michigan University. Since June 2021, Ms. Perkins has served as an adjunct professor in the Master of Clinical Translation Management program in The Cameron School of Business at University of St. Thomas. Our Board believes that Ms. Perkins is qualified to serve as director based on her background and broad range of responsibilities in financial and operational roles, including marketing, business development and commercialization.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Edward M. Straw </w:t>
      </w:r>
      <w:r>
        <w:rPr>
          <w:rFonts w:ascii="Times New Roman;Times;serif" w:hAnsi="Times New Roman;Times;serif"/>
          <w:sz w:val="20"/>
        </w:rPr>
        <w:t>is a Vice Admiral, USN, (Retired) and has served as a member of our Board of Directors since November 2014. He founded Osprey Venture Partners in 2011, a firm that mentors young entrepreneurs seeking investment capital and assists with business development and serves as the managing director. Previously he was president, global operations of The Estée Lauder Companies from 2000 to 2005, senior vice president global operations of the Compaq Computer Corporation from 1998 to 2000, and president of Ryder Integrated Logistics from 1996 to 1998. Prior to joining the private sector, he had a distinguished 35-year career in the U.S. Navy and retired as a three-star admiral. During his military service, Vice Admiral Straw was Director (CEO) of the Defense Logistics Agency, the largest military logistics command supporting the American armed forces. He is a former member of the Defense Science Board, is lead independent director/and former Chairman of Odyssey Logistics and currently sits on the boards of The Boston Consulting Federal Group (lead independent director), and Academy Securities. He is a former board member of Eddie Bauer (audit committee), MeadWestvaco (audit committee), Ply Gem Industries and Panther Logistics. Vice Admiral Straw received a B.S. degree from the United States Naval Academy, an MBA from The George Washington University, and is a graduate of the National War College. Our Board believes that Vice Admiral Straw is qualified to serve as a director based on his extensive leadership experience in both the private sector and the U.S. military.</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Board and Committee Information</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Company’s fiscal year ended December 31, 2023, the Board held a total of five meetings, and each director attended at least 75% or more of the aggregate number of meetings of the Board and of the committees on which he or she served that were held during a portion of the last fiscal year.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Board Leadership Structure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Board of Directors is currently chaired by Blane Walter, an independent member of the Board. The Board does not have a formal policy with respect to the separation of the offices of Chief Executive Officer and Chair of the Board. It is the Board’s view that rather than having a formal policy, the Board, upon consideration of all relevant factors and circumstances, will determine, as and when appropriate, whether it is in the best interests of the Company and its stockholders for such offices to be separate or combined. The Board currently believes that, by separating the positions of Chair of the Board and Chief Executive Officer, the Board can provide significant leadership to management and strong oversight of key opportunities and risks impacting the Company.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Role of the Board in Risk Oversight</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Board of Directors plays an active role in overseeing management of our risks. The Board regularly reviews information regarding the Company’s strategy, liquidity and operations, as well as the risks associated with each. The Audit Committee of the Board is responsible for overseeing the management of financial risks. The Compensation Committee is responsible for overseeing the management of risks relating to the Company’s executive compensation policies and arrangements, and for managing risks relating to the Company’s director compensation policies and arrangements. The Company’s Nominating and Corporate Governance Committee is responsible for reviewing the independence of the Board and other corporate governance matters.</w:t>
      </w:r>
    </w:p>
    <w:p>
      <w:pPr>
        <w:pStyle w:val="TextBody"/>
        <w:bidi w:val="0"/>
        <w:spacing w:before="0" w:after="0"/>
        <w:ind w:left="0" w:right="0" w:hanging="0"/>
        <w:jc w:val="left"/>
        <w:rPr/>
      </w:pPr>
      <w:r>
        <w:rPr/>
        <w:t>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Board Committees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Board of Directors has three standing committees: an Audit Committee, a Compensation Committee and a Nominating and Corporate Governance Committee. The following table provides current committee membership:</w:t>
      </w:r>
    </w:p>
    <w:p>
      <w:pPr>
        <w:pStyle w:val="TextBody"/>
        <w:bidi w:val="0"/>
        <w:spacing w:before="0" w:after="240"/>
        <w:ind w:left="0" w:right="0" w:hanging="0"/>
        <w:jc w:val="left"/>
        <w:rPr/>
      </w:pPr>
      <w:r>
        <w:rPr/>
        <w:t>​</w:t>
      </w:r>
    </w:p>
    <w:tbl>
      <w:tblPr>
        <w:tblW w:w="5932" w:type="dxa"/>
        <w:jc w:val="left"/>
        <w:tblInd w:w="0" w:type="dxa"/>
        <w:tblLayout w:type="fixed"/>
        <w:tblCellMar>
          <w:top w:w="0" w:type="dxa"/>
          <w:left w:w="0" w:type="dxa"/>
          <w:bottom w:w="0" w:type="dxa"/>
          <w:right w:w="0" w:type="dxa"/>
        </w:tblCellMar>
      </w:tblPr>
      <w:tblGrid>
        <w:gridCol w:w="1501"/>
        <w:gridCol w:w="326"/>
        <w:gridCol w:w="901"/>
        <w:gridCol w:w="326"/>
        <w:gridCol w:w="1186"/>
        <w:gridCol w:w="326"/>
        <w:gridCol w:w="1366"/>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53135" cy="175260"/>
                      <wp:effectExtent l="0" t="0" r="0" b="0"/>
                      <wp:wrapNone/>
                      <wp:docPr id="54" name="Frame50"/>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5"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72135" cy="175260"/>
                      <wp:effectExtent l="0" t="0" r="0" b="0"/>
                      <wp:wrapNone/>
                      <wp:docPr id="56" name="Frame5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7"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53110" cy="175260"/>
                      <wp:effectExtent l="0" t="0" r="0" b="0"/>
                      <wp:wrapNone/>
                      <wp:docPr id="58" name="Frame5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59"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867410" cy="175260"/>
                      <wp:effectExtent l="0" t="0" r="0" b="0"/>
                      <wp:wrapNone/>
                      <wp:docPr id="60" name="Frame56"/>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Nominating and </w: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 </w: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 </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Governance </w:t>
            </w:r>
          </w:p>
        </w:tc>
      </w:tr>
      <w:tr>
        <w:trPr/>
        <w:tc>
          <w:tcPr>
            <w:tcW w:w="1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26" w:type="dxa"/>
            <w:tcBorders/>
            <w:vAlign w:val="center"/>
          </w:tcPr>
          <w:p>
            <w:pPr>
              <w:pStyle w:val="TableContents"/>
              <w:bidi w:val="0"/>
              <w:spacing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Buckman</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M. Straw</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Blane Walter</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pPr>
            <w:r>
              <w:rPr/>
              <w:t>  </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Sherrie Perkins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*Committee Chairperson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Below is a description of each committee of the Board of Directors. Each of the committees has authority to engage legal counsel or other experts or consultants, as it deems appropriate to carry out its responsibilities.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Audit Committee is comprised of Messrs. Buckman, Straw and Walter. Mr. Buckman is the chair of the Audit Committee. The Board of Directors has also determined that each of Mr. Buckman and Mr. Walter qualifies as an “audit committee financial expert,” as defined in applicable SEC rules. The Board made a qualitative assessment of Mr. Buckman’s and Mr. Walter’s level of knowledge and experience based on a number of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Audit Committee was established in accordance with Section 3(a)(58)(A) of the Securities Exchange Act of 1934, as amended (the “</w:t>
      </w:r>
      <w:r>
        <w:rPr>
          <w:rFonts w:ascii="Times New Roman;Times;serif" w:hAnsi="Times New Roman;Times;serif"/>
          <w:b/>
          <w:i/>
          <w:sz w:val="20"/>
        </w:rPr>
        <w:t>Exchange Act</w:t>
      </w:r>
      <w:r>
        <w:rPr>
          <w:rFonts w:ascii="Times New Roman;Times;serif" w:hAnsi="Times New Roman;Times;serif"/>
          <w:sz w:val="20"/>
        </w:rPr>
        <w:t xml:space="preserve">”), to oversee the Company’s corporate accounting and financial reporting processes and audits of its financial statements.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this purpose, the Audit Committee performs several functions including the following:</w:t>
      </w:r>
    </w:p>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evaluating the performance of and assessing the qualifications of the independent auditors; </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determining and approving the engagement of the independent auditors;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determining whether to retain or terminate the existing independent auditors or to appoint and engage new independent auditors;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approving the retention of the independent auditors to perform any proposed permissible non-audit services;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monitoring the rotation of partners of the independent auditors on the Company’s audit engagement team as required by law;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approving or rejecting transactions between the Company and any related persons;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conferring with management and the independent auditors regarding the scope, adequacy and effectiveness of internal control over financial reporting;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establishing procedures, as required under applicable law, for the receipt, retention and treatment of complaints received by the Company regarding accounting, internal controls or auditing matters and the confidential and anonymous submission by employees of concerns regarding questionable accounting or auditing matters;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to review the Company’s annual audited financial statements and quarterly financial statements with management and the independent auditor.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Audit Committee met four times during 2023. The Board has adopted a written Audit Committee charter that is available to stockholders on the Company’s website at </w:t>
      </w:r>
      <w:r>
        <w:rPr>
          <w:rFonts w:ascii="Times New Roman;Times;serif" w:hAnsi="Times New Roman;Times;serif"/>
          <w:i/>
          <w:sz w:val="20"/>
        </w:rPr>
        <w:t>www.heliusmedical.com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Board of Directors reviews the definition of independence for Audit Committee members under SEC rules and Nasdaq listing standards on an annual basis and has determined that all members of the Company’s Audit Committee are independent for such purposes.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Compensation Committee is comprised of Messrs. Buckman, Straw and Ms. Perkins. Mr. Straw is the chair of the Compensation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Compensation Committee was established in March 2018. All members of the Company’s Compensation Committee are independent (as independence is currently defined in Rule 5605(d)(2) of the Nasdaq Listing Rules). The Compensation Committee met one time during 2023. The Board has adopted a written Compensation Committee charter that is available to stockholders on the Company’s website at </w:t>
      </w:r>
      <w:r>
        <w:rPr>
          <w:rFonts w:ascii="Times New Roman;Times;serif" w:hAnsi="Times New Roman;Times;serif"/>
          <w:i/>
          <w:sz w:val="20"/>
        </w:rPr>
        <w:t>www.heliusmedical.com</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acts on behalf of the Board to do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recommending for adoption and overseeing the Company’s compensation strategy, policies, plans and programs, including establishing corporate and individual performance objectives relevant to the compensation of the Company’s executive officers and other senior management and evaluation of performance in light of these stated objectives;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approval the compensation and other terms of employment or service, including severance and change-in-control arrangements, of the Company’s Chief Executive Officer, the other executive officers and the directors;</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administering and enforcing the Company’s Clawback Policy;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administering the Company’s equity compensation plans, pension and profit-sharing plans, deferred compensation plans and other similar plans and programs. </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Nominating and Corporate Governance Committee </w:t>
      </w:r>
    </w:p>
    <w:p>
      <w:pPr>
        <w:pStyle w:val="TextBody"/>
        <w:bidi w:val="0"/>
        <w:spacing w:before="0" w:after="240"/>
        <w:ind w:left="0" w:right="0" w:hanging="0"/>
        <w:jc w:val="left"/>
        <w:rPr/>
      </w:pPr>
      <w:r>
        <w:rPr/>
        <w:t>​</w:t>
      </w:r>
      <w:r>
        <w:rPr>
          <w:rFonts w:ascii="Times New Roman;Times;serif" w:hAnsi="Times New Roman;Times;serif"/>
          <w:b/>
          <w:i/>
          <w:sz w:val="20"/>
        </w:rPr>
        <w:br/>
      </w:r>
      <w:r>
        <w:rPr>
          <w:rFonts w:ascii="Times New Roman;Times;serif" w:hAnsi="Times New Roman;Times;serif"/>
          <w:sz w:val="20"/>
        </w:rPr>
        <w:t>Our Nominating and Corporate Governance Committee is currently comprised of Messrs. Buckman, Straw and Ms. Perkins. Ms. Perkins is the chair of the Nominating and Corporate Governance Committee.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Nominating and Corporate Governance Committee was established in March 2018. All members of the Nominating and Corporate Governance Committee are independent (as independence is currently defined in Rule 5605(a)(2) of the Nasdaq Listing Rules). The Nominating and Corporate Governance Committee did not meet during 2023, but approved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certain matters via written consent. The Board has adopted a written Nominating and Corporate Governance Committee charter that is available to stockholders on the Company’s website at </w:t>
      </w:r>
      <w:r>
        <w:rPr>
          <w:rFonts w:ascii="Times New Roman;Times;serif" w:hAnsi="Times New Roman;Times;serif"/>
          <w:i/>
          <w:sz w:val="20"/>
        </w:rPr>
        <w:t>www.heliusmedical.com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Nominating and Corporate Governance Committee is responsible for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to serve as directors of the Company (consistent with criteria approved by the Board);</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incumbent directors;</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or recommending to the Board for selection candidates for election to the Board of Directors;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to the Board regarding the membership of the committees of the Board;</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the performance of management and the Board; and</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developing a set of corporate governance principles for the Company. </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Code of Business Conduct and Ethics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has adopted a Code of Business Conduct and Ethics that applies to all officers, directors and employees. The Code of Business Conduct and Ethics is available on the Company’s website at </w:t>
      </w:r>
      <w:r>
        <w:rPr>
          <w:rFonts w:ascii="Times New Roman;Times;serif" w:hAnsi="Times New Roman;Times;serif"/>
          <w:i/>
          <w:sz w:val="20"/>
        </w:rPr>
        <w:t>www.heliusmedical.com</w:t>
      </w:r>
      <w:r>
        <w:rPr>
          <w:rFonts w:ascii="Times New Roman;Times;serif" w:hAnsi="Times New Roman;Times;serif"/>
          <w:sz w:val="20"/>
        </w:rPr>
        <w:t>.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Hedging Policy</w:t>
      </w:r>
    </w:p>
    <w:p>
      <w:pPr>
        <w:pStyle w:val="TextBody"/>
        <w:bidi w:val="0"/>
        <w:spacing w:before="0" w:after="0"/>
        <w:ind w:left="0" w:right="0" w:hanging="0"/>
        <w:jc w:val="both"/>
        <w:rPr/>
      </w:pPr>
      <w:r>
        <w:rPr/>
        <w: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Insider Trading Policy is designed to create reasonable processes to prevent the Company and its directors, officers, employees and specified other persons from insider trading and any appearance of improper conduct. Our Insider Trading Policy specifically prohibits, among other things, all directors and executive officers and employees of the Company from effecting hedging or monetization transactions, such as zero-cost collars and forward sale contracts.</w:t>
      </w:r>
    </w:p>
    <w:p>
      <w:pPr>
        <w:pStyle w:val="TextBody"/>
        <w:bidi w:val="0"/>
        <w:spacing w:before="0" w:after="0"/>
        <w:ind w:left="0" w:right="0" w:hanging="0"/>
        <w:jc w:val="left"/>
        <w:rPr>
          <w:rFonts w:ascii="Times New Roman;Times;serif" w:hAnsi="Times New Roman;Times;serif"/>
          <w:b/>
          <w:i/>
          <w:sz w:val="20"/>
        </w:rPr>
      </w:pPr>
      <w:bookmarkStart w:id="95" w:name="a_020"/>
      <w:bookmarkEnd w:id="95"/>
      <w:r>
        <w:rPr>
          <w:rFonts w:ascii="Times New Roman;Times;serif" w:hAnsi="Times New Roman;Times;serif"/>
          <w:b/>
          <w:i/>
          <w:sz w:val="20"/>
        </w:rPr>
        <w:t xml:space="preserve">Policy for the Recovery of Erroneously Awarded Compensation </w:t>
      </w:r>
    </w:p>
    <w:p>
      <w:pPr>
        <w:pStyle w:val="TextBody"/>
        <w:bidi w:val="0"/>
        <w:spacing w:lineRule="atLeast" w:line="220" w:before="160" w:after="0"/>
        <w:ind w:left="0" w:right="0" w:hanging="0"/>
        <w:jc w:val="left"/>
        <w:rPr>
          <w:rFonts w:ascii="Times New Roman;Times;serif" w:hAnsi="Times New Roman;Times;serif"/>
          <w:sz w:val="20"/>
        </w:rPr>
      </w:pPr>
      <w:r>
        <w:rPr>
          <w:rFonts w:ascii="Times New Roman;Times;serif" w:hAnsi="Times New Roman;Times;serif"/>
          <w:sz w:val="20"/>
        </w:rPr>
        <w:t>As required by the listing standards adopted by Nasdaq as a result of SEC rulemaking, the Company’s Board of Directors recently adopted a new Policy for the Recovery of Erroneously Awarded Compensation. The policy provides that the Company must promptly recover specified incentive-based compensation that is received by our Section 16 officers on or after October 2, 2023, regardless of fault or misconduct, upon specified accounting restatements of the Company’s financial statement that resulted in such persons receiving an amount that exceeded the amount that would have been received if based on the restated financial statements. There are limited exceptions to the recovery requirement as set forth in the listing standards. Incentive-based compensation is defined as any compensation that is granted, earned, or vested based wholly or in part upon the attainment of a financial reporting measure. The subject compensation will be determined without regard to any net settlement of, or taxes paid or payable or withheld on, such compensation, but there will not be any duplicative recovery by the Company. As specified in the listing standards, the Company cannot indemnify, or pay or reimburse for insurance for, a Section 16 officer for recoveries under this policy.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recovery period under the policy is three full years preceding the date our Board or a committee thereof as directed by the Board concludes, or reasonably should have concluded, that an accounting restatement is required</w:t>
      </w:r>
      <w:r>
        <w:rPr>
          <w:rFonts w:ascii="Times New Roman;Times;serif" w:hAnsi="Times New Roman;Times;serif"/>
          <w:i/>
          <w:sz w:val="20"/>
        </w:rPr>
        <w:t xml:space="preserve">. </w:t>
      </w:r>
      <w:r>
        <w:rPr>
          <w:rFonts w:ascii="Times New Roman;Times;serif" w:hAnsi="Times New Roman;Times;serif"/>
          <w:sz w:val="20"/>
        </w:rPr>
        <w:t>If applicable, the Company will provide the current or former Section 16 officer with a written demand for repayment or return and the method thereof. If such repayment or return is not made when due, the policy provides that the Company will take all reasonable and appropriate actions to recover such erroneously awarded compensation from such person.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6" w:name="ITEM11EXECUTIVECOMPENSATION_157841"/>
      <w:bookmarkStart w:id="97" w:name="_2bc9aa63_bdf7_4c3e_9827_3fee1eef768d"/>
      <w:bookmarkStart w:id="98" w:name="ITEM11EXECUTIVECOMPENSATION_157841"/>
      <w:bookmarkStart w:id="99" w:name="_2bc9aa63_bdf7_4c3e_9827_3fee1eef768d"/>
      <w:bookmarkEnd w:id="98"/>
      <w:bookmarkEnd w:id="99"/>
    </w:p>
    <w:tbl>
      <w:tblPr>
        <w:tblW w:w="3887" w:type="dxa"/>
        <w:jc w:val="left"/>
        <w:tblInd w:w="0" w:type="dxa"/>
        <w:tblLayout w:type="fixed"/>
        <w:tblCellMar>
          <w:top w:w="0" w:type="dxa"/>
          <w:left w:w="0" w:type="dxa"/>
          <w:bottom w:w="0" w:type="dxa"/>
          <w:right w:w="0" w:type="dxa"/>
        </w:tblCellMar>
      </w:tblPr>
      <w:tblGrid>
        <w:gridCol w:w="946"/>
        <w:gridCol w:w="2941"/>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11.</w:t>
            </w:r>
          </w:p>
        </w:tc>
        <w:tc>
          <w:tcPr>
            <w:tcW w:w="29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EXECUTIVE COMPENSATION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and accompanying narrative disclosure discuss the compensation awarded to, earned by, or paid to:</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Dane C. Andreeff, our President and Chief Executive Officer;</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S. Mathiesen, our Chief Financial Officer, Treasurer and Secretary; and</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Antonella Favit-Van Pelt, our Chief Medical Officer.</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refer to these three executive officers as the “named executive officers” (as determined pursuant to the SEC’s disclosure requirements for executive compensation in Item 402 of Regulation S-K). The following table presents summary information regarding the total compensation for services rendered in all capacities that was earned by the Company’s named executive officers during the fiscal years ended December 31, 2023 and 2022.</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66"/>
        <w:gridCol w:w="326"/>
        <w:gridCol w:w="526"/>
        <w:gridCol w:w="326"/>
        <w:gridCol w:w="781"/>
        <w:gridCol w:w="326"/>
        <w:gridCol w:w="931"/>
        <w:gridCol w:w="326"/>
        <w:gridCol w:w="661"/>
        <w:gridCol w:w="326"/>
        <w:gridCol w:w="1141"/>
        <w:gridCol w:w="326"/>
        <w:gridCol w:w="1141"/>
        <w:gridCol w:w="326"/>
        <w:gridCol w:w="976"/>
      </w:tblGrid>
      <w:tr>
        <w:trPr/>
        <w:tc>
          <w:tcPr>
            <w:tcW w:w="1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121410" cy="175260"/>
                      <wp:effectExtent l="0" t="0" r="0" b="0"/>
                      <wp:wrapNone/>
                      <wp:docPr id="61" name="Frame57"/>
                      <a:graphic xmlns:a="http://schemas.openxmlformats.org/drawingml/2006/main">
                        <a:graphicData uri="http://schemas.microsoft.com/office/word/2010/wordprocessingShape">
                          <wps:wsp>
                            <wps:cNvSpPr txBox="1"/>
                            <wps:spPr>
                              <a:xfrm>
                                <a:off x="0" y="0"/>
                                <a:ext cx="112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2"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34010" cy="175260"/>
                      <wp:effectExtent l="0" t="0" r="0" b="0"/>
                      <wp:wrapNone/>
                      <wp:docPr id="63" name="Frame5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4"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5" name="Frame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6"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91185" cy="175260"/>
                      <wp:effectExtent l="0" t="0" r="0" b="0"/>
                      <wp:wrapNone/>
                      <wp:docPr id="67" name="Frame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8"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19735" cy="175260"/>
                      <wp:effectExtent l="0" t="0" r="0" b="0"/>
                      <wp:wrapNone/>
                      <wp:docPr id="69" name="Frame6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0"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24535" cy="175260"/>
                      <wp:effectExtent l="0" t="0" r="0" b="0"/>
                      <wp:wrapNone/>
                      <wp:docPr id="71" name="Frame6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2"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24535" cy="175260"/>
                      <wp:effectExtent l="0" t="0" r="0" b="0"/>
                      <wp:wrapNone/>
                      <wp:docPr id="73" name="Frame6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4"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19760" cy="175260"/>
                      <wp:effectExtent l="0" t="0" r="0" b="0"/>
                      <wp:wrapNone/>
                      <wp:docPr id="75" name="Frame7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76" w:type="dxa"/>
            <w:tcBorders/>
            <w:vAlign w:val="center"/>
          </w:tcPr>
          <w:p>
            <w:pPr>
              <w:pStyle w:val="TableContents"/>
              <w:bidi w:val="0"/>
              <w:spacing w:before="0" w:after="1"/>
              <w:ind w:left="0" w:right="0" w:hanging="0"/>
              <w:jc w:val="center"/>
              <w:rPr/>
            </w:pPr>
            <w:r>
              <w:rPr/>
              <w:t>​</w:t>
            </w:r>
          </w:p>
        </w:tc>
      </w:tr>
      <w:tr>
        <w:trPr/>
        <w:tc>
          <w:tcPr>
            <w:tcW w:w="1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r>
      <w:tr>
        <w:trPr/>
        <w:tc>
          <w:tcPr>
            <w:tcW w:w="1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26" w:type="dxa"/>
            <w:tcBorders/>
            <w:vAlign w:val="center"/>
          </w:tcPr>
          <w:p>
            <w:pPr>
              <w:pStyle w:val="TableContents"/>
              <w:bidi w:val="0"/>
              <w:spacing w:before="0" w:after="1"/>
              <w:ind w:left="0" w:right="0" w:hanging="0"/>
              <w:jc w:val="center"/>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2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766" w:type="dxa"/>
            <w:tcBorders/>
            <w:shd w:fill="CCEC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Dane C. Andreeff</w:t>
            </w:r>
          </w:p>
        </w:tc>
        <w:tc>
          <w:tcPr>
            <w:tcW w:w="326" w:type="dxa"/>
            <w:tcBorders/>
            <w:shd w:fill="CCECFF" w:val="clear"/>
            <w:vAlign w:val="center"/>
          </w:tcPr>
          <w:p>
            <w:pPr>
              <w:pStyle w:val="TableContents"/>
              <w:bidi w:val="0"/>
              <w:spacing w:before="0" w:after="1"/>
              <w:ind w:left="0" w:right="0" w:hanging="0"/>
              <w:jc w:val="left"/>
              <w:rPr/>
            </w:pPr>
            <w:r>
              <w:rPr/>
              <w:t> </w:t>
            </w:r>
          </w:p>
        </w:tc>
        <w:tc>
          <w:tcPr>
            <w:tcW w:w="526" w:type="dxa"/>
            <w:tcBorders/>
            <w:shd w:fill="CCEC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CFF" w:val="clear"/>
            <w:vAlign w:val="center"/>
          </w:tcPr>
          <w:p>
            <w:pPr>
              <w:pStyle w:val="TableContents"/>
              <w:bidi w:val="0"/>
              <w:spacing w:before="0" w:after="1"/>
              <w:ind w:left="0" w:right="0" w:hanging="0"/>
              <w:jc w:val="left"/>
              <w:rPr/>
            </w:pPr>
            <w:r>
              <w:rPr/>
              <w:t> </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386,000</w:t>
            </w:r>
          </w:p>
        </w:tc>
        <w:tc>
          <w:tcPr>
            <w:tcW w:w="326" w:type="dxa"/>
            <w:tcBorders/>
            <w:shd w:fill="CCECFF" w:val="clear"/>
            <w:vAlign w:val="center"/>
          </w:tcPr>
          <w:p>
            <w:pPr>
              <w:pStyle w:val="TableContents"/>
              <w:bidi w:val="0"/>
              <w:spacing w:before="0" w:after="1"/>
              <w:ind w:left="0" w:right="0" w:hanging="0"/>
              <w:jc w:val="left"/>
              <w:rPr/>
            </w:pPr>
            <w:r>
              <w:rPr/>
              <w:t> </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1,115,469</w:t>
            </w:r>
          </w:p>
        </w:tc>
        <w:tc>
          <w:tcPr>
            <w:tcW w:w="326" w:type="dxa"/>
            <w:tcBorders/>
            <w:shd w:fill="CCECFF" w:val="clear"/>
            <w:vAlign w:val="center"/>
          </w:tcPr>
          <w:p>
            <w:pPr>
              <w:pStyle w:val="TableContents"/>
              <w:bidi w:val="0"/>
              <w:spacing w:before="0" w:after="1"/>
              <w:ind w:left="0" w:right="0" w:hanging="0"/>
              <w:jc w:val="left"/>
              <w:rPr/>
            </w:pPr>
            <w:r>
              <w:rPr/>
              <w:t> </w:t>
            </w:r>
          </w:p>
        </w:tc>
        <w:tc>
          <w:tcPr>
            <w:tcW w:w="661" w:type="dxa"/>
            <w:tcBorders/>
            <w:shd w:fill="CCECFF" w:val="clear"/>
            <w:vAlign w:val="center"/>
          </w:tcPr>
          <w:p>
            <w:pPr>
              <w:pStyle w:val="TableContents"/>
              <w:bidi w:val="0"/>
              <w:spacing w:before="0" w:after="1"/>
              <w:ind w:left="0" w:right="0" w:hanging="0"/>
              <w:jc w:val="righ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96,500</w:t>
            </w:r>
          </w:p>
        </w:tc>
        <w:tc>
          <w:tcPr>
            <w:tcW w:w="32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37,257</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1,635,226</w:t>
            </w:r>
          </w:p>
        </w:tc>
      </w:tr>
      <w:tr>
        <w:trPr/>
        <w:tc>
          <w:tcPr>
            <w:tcW w:w="1766" w:type="dxa"/>
            <w:tcBorders/>
            <w:shd w:fill="CCEC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President and Chief</w:t>
            </w:r>
          </w:p>
        </w:tc>
        <w:tc>
          <w:tcPr>
            <w:tcW w:w="326" w:type="dxa"/>
            <w:tcBorders/>
            <w:shd w:fill="CCECFF" w:val="clear"/>
            <w:vAlign w:val="center"/>
          </w:tcPr>
          <w:p>
            <w:pPr>
              <w:pStyle w:val="TableContents"/>
              <w:bidi w:val="0"/>
              <w:spacing w:before="0" w:after="1"/>
              <w:ind w:left="0" w:right="0" w:hanging="0"/>
              <w:jc w:val="left"/>
              <w:rPr/>
            </w:pPr>
            <w:r>
              <w:rPr/>
              <w:t>​</w:t>
            </w:r>
          </w:p>
        </w:tc>
        <w:tc>
          <w:tcPr>
            <w:tcW w:w="526" w:type="dxa"/>
            <w:tcBorders/>
            <w:shd w:fill="CCECFF" w:val="clear"/>
            <w:vAlign w:val="center"/>
          </w:tcPr>
          <w:p>
            <w:pPr>
              <w:pStyle w:val="TableContents"/>
              <w:bidi w:val="0"/>
              <w:spacing w:before="0" w:after="1"/>
              <w:ind w:left="0" w:right="0" w:hanging="0"/>
              <w:jc w:val="center"/>
              <w:rPr/>
            </w:pPr>
            <w:r>
              <w:rPr/>
              <w:t>​</w:t>
            </w:r>
          </w:p>
        </w:tc>
        <w:tc>
          <w:tcPr>
            <w:tcW w:w="326" w:type="dxa"/>
            <w:tcBorders/>
            <w:shd w:fill="CCECFF" w:val="clear"/>
            <w:vAlign w:val="center"/>
          </w:tcPr>
          <w:p>
            <w:pPr>
              <w:pStyle w:val="TableContents"/>
              <w:bidi w:val="0"/>
              <w:spacing w:before="0" w:after="1"/>
              <w:ind w:left="0" w:right="0" w:hanging="0"/>
              <w:jc w:val="left"/>
              <w:rPr/>
            </w:pPr>
            <w:r>
              <w:rPr/>
              <w:t>​</w:t>
            </w:r>
          </w:p>
        </w:tc>
        <w:tc>
          <w:tcPr>
            <w:tcW w:w="781" w:type="dxa"/>
            <w:tcBorders/>
            <w:shd w:fill="CCECFF" w:val="clear"/>
            <w:vAlign w:val="center"/>
          </w:tcPr>
          <w:p>
            <w:pPr>
              <w:pStyle w:val="TableContents"/>
              <w:bidi w:val="0"/>
              <w:spacing w:before="0" w:after="1"/>
              <w:ind w:left="0" w:right="0" w:hanging="0"/>
              <w:jc w:val="right"/>
              <w:rPr/>
            </w:pPr>
            <w:r>
              <w:rPr/>
              <w:t>​</w:t>
            </w:r>
          </w:p>
        </w:tc>
        <w:tc>
          <w:tcPr>
            <w:tcW w:w="326" w:type="dxa"/>
            <w:tcBorders/>
            <w:shd w:fill="CCECFF" w:val="clear"/>
            <w:vAlign w:val="center"/>
          </w:tcPr>
          <w:p>
            <w:pPr>
              <w:pStyle w:val="TableContents"/>
              <w:bidi w:val="0"/>
              <w:spacing w:before="0" w:after="1"/>
              <w:ind w:left="0" w:right="0" w:hanging="0"/>
              <w:jc w:val="left"/>
              <w:rPr/>
            </w:pPr>
            <w:r>
              <w:rPr/>
              <w:t>​</w:t>
            </w:r>
          </w:p>
        </w:tc>
        <w:tc>
          <w:tcPr>
            <w:tcW w:w="931" w:type="dxa"/>
            <w:tcBorders/>
            <w:shd w:fill="CCECFF" w:val="clear"/>
            <w:vAlign w:val="center"/>
          </w:tcPr>
          <w:p>
            <w:pPr>
              <w:pStyle w:val="TableContents"/>
              <w:bidi w:val="0"/>
              <w:spacing w:before="0" w:after="1"/>
              <w:ind w:left="0" w:right="0" w:hanging="0"/>
              <w:jc w:val="right"/>
              <w:rPr/>
            </w:pPr>
            <w:r>
              <w:rPr/>
              <w:t>​</w:t>
            </w:r>
          </w:p>
        </w:tc>
        <w:tc>
          <w:tcPr>
            <w:tcW w:w="326" w:type="dxa"/>
            <w:tcBorders/>
            <w:shd w:fill="CCECFF" w:val="clear"/>
            <w:vAlign w:val="center"/>
          </w:tcPr>
          <w:p>
            <w:pPr>
              <w:pStyle w:val="TableContents"/>
              <w:bidi w:val="0"/>
              <w:spacing w:before="0" w:after="1"/>
              <w:ind w:left="0" w:right="0" w:hanging="0"/>
              <w:jc w:val="left"/>
              <w:rPr/>
            </w:pPr>
            <w:r>
              <w:rPr/>
              <w:t>​</w:t>
            </w:r>
          </w:p>
        </w:tc>
        <w:tc>
          <w:tcPr>
            <w:tcW w:w="661" w:type="dxa"/>
            <w:tcBorders/>
            <w:shd w:fill="CCECFF" w:val="clear"/>
            <w:vAlign w:val="center"/>
          </w:tcPr>
          <w:p>
            <w:pPr>
              <w:pStyle w:val="TableContents"/>
              <w:bidi w:val="0"/>
              <w:spacing w:before="0" w:after="1"/>
              <w:ind w:left="0" w:right="0" w:hanging="0"/>
              <w:jc w:val="right"/>
              <w:rPr/>
            </w:pPr>
            <w:r>
              <w:rPr/>
              <w:t>​</w:t>
            </w:r>
          </w:p>
        </w:tc>
        <w:tc>
          <w:tcPr>
            <w:tcW w:w="326" w:type="dxa"/>
            <w:tcBorders/>
            <w:shd w:fill="CCECFF" w:val="clear"/>
            <w:vAlign w:val="center"/>
          </w:tcPr>
          <w:p>
            <w:pPr>
              <w:pStyle w:val="TableContents"/>
              <w:bidi w:val="0"/>
              <w:spacing w:before="0" w:after="1"/>
              <w:ind w:left="0" w:right="0" w:hanging="0"/>
              <w:jc w:val="left"/>
              <w:rPr/>
            </w:pPr>
            <w:r>
              <w:rPr/>
              <w:t>​</w:t>
            </w:r>
          </w:p>
        </w:tc>
        <w:tc>
          <w:tcPr>
            <w:tcW w:w="1141" w:type="dxa"/>
            <w:tcBorders/>
            <w:shd w:fill="CCECFF" w:val="clear"/>
            <w:vAlign w:val="center"/>
          </w:tcPr>
          <w:p>
            <w:pPr>
              <w:pStyle w:val="TableContents"/>
              <w:bidi w:val="0"/>
              <w:spacing w:before="0" w:after="1"/>
              <w:ind w:left="0" w:right="0" w:hanging="0"/>
              <w:jc w:val="right"/>
              <w:rPr/>
            </w:pPr>
            <w:r>
              <w:rPr/>
              <w:t>​</w:t>
            </w:r>
          </w:p>
        </w:tc>
        <w:tc>
          <w:tcPr>
            <w:tcW w:w="326" w:type="dxa"/>
            <w:tcBorders/>
            <w:shd w:fill="CCECFF" w:val="clear"/>
            <w:vAlign w:val="center"/>
          </w:tcPr>
          <w:p>
            <w:pPr>
              <w:pStyle w:val="TableContents"/>
              <w:bidi w:val="0"/>
              <w:spacing w:before="0" w:after="1"/>
              <w:ind w:left="0" w:right="0" w:hanging="0"/>
              <w:jc w:val="left"/>
              <w:rPr/>
            </w:pPr>
            <w:r>
              <w:rPr/>
              <w:t>​</w:t>
            </w:r>
          </w:p>
        </w:tc>
        <w:tc>
          <w:tcPr>
            <w:tcW w:w="1141" w:type="dxa"/>
            <w:tcBorders/>
            <w:shd w:fill="CCECFF" w:val="clear"/>
            <w:vAlign w:val="center"/>
          </w:tcPr>
          <w:p>
            <w:pPr>
              <w:pStyle w:val="TableContents"/>
              <w:bidi w:val="0"/>
              <w:spacing w:before="0" w:after="1"/>
              <w:ind w:left="0" w:right="0" w:hanging="0"/>
              <w:jc w:val="right"/>
              <w:rPr/>
            </w:pPr>
            <w:r>
              <w:rPr/>
              <w:t>​</w:t>
            </w:r>
          </w:p>
        </w:tc>
        <w:tc>
          <w:tcPr>
            <w:tcW w:w="326" w:type="dxa"/>
            <w:tcBorders/>
            <w:shd w:fill="CCECFF" w:val="clear"/>
            <w:vAlign w:val="center"/>
          </w:tcPr>
          <w:p>
            <w:pPr>
              <w:pStyle w:val="TableContents"/>
              <w:bidi w:val="0"/>
              <w:spacing w:before="0" w:after="1"/>
              <w:ind w:left="0" w:right="0" w:hanging="0"/>
              <w:jc w:val="left"/>
              <w:rPr/>
            </w:pPr>
            <w:r>
              <w:rPr/>
              <w:t>​</w:t>
            </w:r>
          </w:p>
        </w:tc>
        <w:tc>
          <w:tcPr>
            <w:tcW w:w="976" w:type="dxa"/>
            <w:tcBorders/>
            <w:shd w:fill="CCECFF" w:val="clear"/>
            <w:vAlign w:val="center"/>
          </w:tcPr>
          <w:p>
            <w:pPr>
              <w:pStyle w:val="TableContents"/>
              <w:bidi w:val="0"/>
              <w:spacing w:before="0" w:after="1"/>
              <w:ind w:left="0" w:right="0" w:hanging="0"/>
              <w:jc w:val="right"/>
              <w:rPr/>
            </w:pPr>
            <w:r>
              <w:rPr/>
              <w:t>​</w:t>
            </w:r>
          </w:p>
        </w:tc>
      </w:tr>
      <w:tr>
        <w:trPr/>
        <w:tc>
          <w:tcPr>
            <w:tcW w:w="1766" w:type="dxa"/>
            <w:tcBorders/>
            <w:shd w:fill="CCEC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Executive Officer</w:t>
            </w:r>
          </w:p>
        </w:tc>
        <w:tc>
          <w:tcPr>
            <w:tcW w:w="326" w:type="dxa"/>
            <w:tcBorders/>
            <w:shd w:fill="CCECFF" w:val="clear"/>
            <w:vAlign w:val="center"/>
          </w:tcPr>
          <w:p>
            <w:pPr>
              <w:pStyle w:val="TableContents"/>
              <w:bidi w:val="0"/>
              <w:spacing w:before="0" w:after="1"/>
              <w:ind w:left="0" w:right="0" w:hanging="0"/>
              <w:jc w:val="left"/>
              <w:rPr/>
            </w:pPr>
            <w:r>
              <w:rPr/>
              <w:t>​</w:t>
            </w:r>
          </w:p>
        </w:tc>
        <w:tc>
          <w:tcPr>
            <w:tcW w:w="526" w:type="dxa"/>
            <w:tcBorders/>
            <w:shd w:fill="CCEC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CFF" w:val="clear"/>
            <w:vAlign w:val="center"/>
          </w:tcPr>
          <w:p>
            <w:pPr>
              <w:pStyle w:val="TableContents"/>
              <w:bidi w:val="0"/>
              <w:spacing w:before="0" w:after="1"/>
              <w:ind w:left="0" w:right="0" w:hanging="0"/>
              <w:jc w:val="left"/>
              <w:rPr/>
            </w:pPr>
            <w:r>
              <w:rPr/>
              <w:t> </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367,500</w:t>
            </w:r>
          </w:p>
        </w:tc>
        <w:tc>
          <w:tcPr>
            <w:tcW w:w="326" w:type="dxa"/>
            <w:tcBorders/>
            <w:shd w:fill="CCECFF" w:val="clear"/>
            <w:vAlign w:val="center"/>
          </w:tcPr>
          <w:p>
            <w:pPr>
              <w:pStyle w:val="TableContents"/>
              <w:bidi w:val="0"/>
              <w:spacing w:before="0" w:after="1"/>
              <w:ind w:left="0" w:right="0" w:hanging="0"/>
              <w:jc w:val="left"/>
              <w:rPr/>
            </w:pPr>
            <w:r>
              <w:rPr/>
              <w:t> </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133,566</w:t>
            </w:r>
          </w:p>
        </w:tc>
        <w:tc>
          <w:tcPr>
            <w:tcW w:w="326" w:type="dxa"/>
            <w:tcBorders/>
            <w:shd w:fill="CCECFF" w:val="clear"/>
            <w:vAlign w:val="center"/>
          </w:tcPr>
          <w:p>
            <w:pPr>
              <w:pStyle w:val="TableContents"/>
              <w:bidi w:val="0"/>
              <w:spacing w:before="0" w:after="1"/>
              <w:ind w:left="0" w:right="0" w:hanging="0"/>
              <w:jc w:val="left"/>
              <w:rPr/>
            </w:pPr>
            <w:r>
              <w:rPr/>
              <w:t> </w:t>
            </w:r>
          </w:p>
        </w:tc>
        <w:tc>
          <w:tcPr>
            <w:tcW w:w="661" w:type="dxa"/>
            <w:tcBorders/>
            <w:shd w:fill="CCECFF" w:val="clear"/>
            <w:vAlign w:val="center"/>
          </w:tcPr>
          <w:p>
            <w:pPr>
              <w:pStyle w:val="TableContents"/>
              <w:bidi w:val="0"/>
              <w:spacing w:before="0" w:after="1"/>
              <w:ind w:left="0" w:right="0" w:hanging="0"/>
              <w:jc w:val="righ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91,875</w:t>
            </w:r>
          </w:p>
        </w:tc>
        <w:tc>
          <w:tcPr>
            <w:tcW w:w="32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9,795</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602,736</w:t>
            </w:r>
          </w:p>
        </w:tc>
      </w:tr>
      <w:tr>
        <w:trPr/>
        <w:tc>
          <w:tcPr>
            <w:tcW w:w="17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Jeffrey S. Mathiesen</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370,000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579,803</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74,000</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34,642</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1,058,445</w:t>
            </w:r>
          </w:p>
        </w:tc>
      </w:tr>
      <w:tr>
        <w:trPr/>
        <w:tc>
          <w:tcPr>
            <w:tcW w:w="176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351,750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28,173</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70,350</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12,845</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463,463</w:t>
            </w:r>
          </w:p>
        </w:tc>
      </w:tr>
      <w:tr>
        <w:trPr/>
        <w:tc>
          <w:tcPr>
            <w:tcW w:w="176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Treasurer and Secretary</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1766" w:type="dxa"/>
            <w:tcBorders/>
            <w:shd w:fill="CCEC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Antonella Favit-Van Pelt</w:t>
            </w:r>
          </w:p>
        </w:tc>
        <w:tc>
          <w:tcPr>
            <w:tcW w:w="326" w:type="dxa"/>
            <w:tcBorders/>
            <w:shd w:fill="CCECFF" w:val="clear"/>
            <w:vAlign w:val="center"/>
          </w:tcPr>
          <w:p>
            <w:pPr>
              <w:pStyle w:val="TableContents"/>
              <w:bidi w:val="0"/>
              <w:spacing w:before="0" w:after="1"/>
              <w:ind w:left="0" w:right="0" w:hanging="0"/>
              <w:jc w:val="left"/>
              <w:rPr/>
            </w:pPr>
            <w:r>
              <w:rPr/>
              <w:t> </w:t>
            </w:r>
          </w:p>
        </w:tc>
        <w:tc>
          <w:tcPr>
            <w:tcW w:w="526" w:type="dxa"/>
            <w:tcBorders/>
            <w:shd w:fill="CCEC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CFF" w:val="clear"/>
            <w:vAlign w:val="center"/>
          </w:tcPr>
          <w:p>
            <w:pPr>
              <w:pStyle w:val="TableContents"/>
              <w:bidi w:val="0"/>
              <w:spacing w:before="0" w:after="1"/>
              <w:ind w:left="0" w:right="0" w:hanging="0"/>
              <w:jc w:val="left"/>
              <w:rPr/>
            </w:pPr>
            <w:r>
              <w:rPr/>
              <w:t> </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375,000</w:t>
            </w:r>
          </w:p>
        </w:tc>
        <w:tc>
          <w:tcPr>
            <w:tcW w:w="326" w:type="dxa"/>
            <w:tcBorders/>
            <w:shd w:fill="CCECFF" w:val="clear"/>
            <w:vAlign w:val="center"/>
          </w:tcPr>
          <w:p>
            <w:pPr>
              <w:pStyle w:val="TableContents"/>
              <w:bidi w:val="0"/>
              <w:spacing w:before="0" w:after="1"/>
              <w:ind w:left="0" w:right="0" w:hanging="0"/>
              <w:jc w:val="left"/>
              <w:rPr/>
            </w:pPr>
            <w:r>
              <w:rPr/>
              <w:t> </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314,984</w:t>
            </w:r>
          </w:p>
        </w:tc>
        <w:tc>
          <w:tcPr>
            <w:tcW w:w="326" w:type="dxa"/>
            <w:tcBorders/>
            <w:shd w:fill="CCECFF" w:val="clear"/>
            <w:vAlign w:val="center"/>
          </w:tcPr>
          <w:p>
            <w:pPr>
              <w:pStyle w:val="TableContents"/>
              <w:bidi w:val="0"/>
              <w:spacing w:before="0" w:after="1"/>
              <w:ind w:left="0" w:right="0" w:hanging="0"/>
              <w:jc w:val="left"/>
              <w:rPr/>
            </w:pPr>
            <w:r>
              <w:rPr/>
              <w:t> </w:t>
            </w:r>
          </w:p>
        </w:tc>
        <w:tc>
          <w:tcPr>
            <w:tcW w:w="661" w:type="dxa"/>
            <w:tcBorders/>
            <w:shd w:fill="CCECFF" w:val="clear"/>
            <w:vAlign w:val="center"/>
          </w:tcPr>
          <w:p>
            <w:pPr>
              <w:pStyle w:val="TableContents"/>
              <w:bidi w:val="0"/>
              <w:spacing w:before="0" w:after="1"/>
              <w:ind w:left="0" w:right="0" w:hanging="0"/>
              <w:jc w:val="righ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65,625</w:t>
            </w:r>
          </w:p>
        </w:tc>
        <w:tc>
          <w:tcPr>
            <w:tcW w:w="32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30,935</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786,544</w:t>
            </w:r>
          </w:p>
        </w:tc>
      </w:tr>
      <w:tr>
        <w:trPr/>
        <w:tc>
          <w:tcPr>
            <w:tcW w:w="1766" w:type="dxa"/>
            <w:tcBorders/>
            <w:shd w:fill="CCEC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Medical Officer</w:t>
            </w:r>
          </w:p>
        </w:tc>
        <w:tc>
          <w:tcPr>
            <w:tcW w:w="326" w:type="dxa"/>
            <w:tcBorders/>
            <w:shd w:fill="CCECFF" w:val="clear"/>
            <w:vAlign w:val="center"/>
          </w:tcPr>
          <w:p>
            <w:pPr>
              <w:pStyle w:val="TableContents"/>
              <w:bidi w:val="0"/>
              <w:spacing w:before="0" w:after="1"/>
              <w:ind w:left="0" w:right="0" w:hanging="0"/>
              <w:jc w:val="left"/>
              <w:rPr/>
            </w:pPr>
            <w:r>
              <w:rPr/>
              <w:t>​</w:t>
            </w:r>
          </w:p>
        </w:tc>
        <w:tc>
          <w:tcPr>
            <w:tcW w:w="526" w:type="dxa"/>
            <w:tcBorders/>
            <w:shd w:fill="CCEC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CFF" w:val="clear"/>
            <w:vAlign w:val="center"/>
          </w:tcPr>
          <w:p>
            <w:pPr>
              <w:pStyle w:val="TableContents"/>
              <w:bidi w:val="0"/>
              <w:spacing w:before="0" w:after="1"/>
              <w:ind w:left="0" w:right="0" w:hanging="0"/>
              <w:jc w:val="left"/>
              <w:rPr/>
            </w:pPr>
            <w:r>
              <w:rPr/>
              <w:t> </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357,000</w:t>
            </w:r>
          </w:p>
        </w:tc>
        <w:tc>
          <w:tcPr>
            <w:tcW w:w="326" w:type="dxa"/>
            <w:tcBorders/>
            <w:shd w:fill="CCECFF" w:val="clear"/>
            <w:vAlign w:val="center"/>
          </w:tcPr>
          <w:p>
            <w:pPr>
              <w:pStyle w:val="TableContents"/>
              <w:bidi w:val="0"/>
              <w:spacing w:before="0" w:after="1"/>
              <w:ind w:left="0" w:right="0" w:hanging="0"/>
              <w:jc w:val="left"/>
              <w:rPr/>
            </w:pPr>
            <w:r>
              <w:rPr/>
              <w:t> </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93,886</w:t>
            </w:r>
          </w:p>
        </w:tc>
        <w:tc>
          <w:tcPr>
            <w:tcW w:w="326" w:type="dxa"/>
            <w:tcBorders/>
            <w:shd w:fill="CCECFF" w:val="clear"/>
            <w:vAlign w:val="center"/>
          </w:tcPr>
          <w:p>
            <w:pPr>
              <w:pStyle w:val="TableContents"/>
              <w:bidi w:val="0"/>
              <w:spacing w:before="0" w:after="1"/>
              <w:ind w:left="0" w:right="0" w:hanging="0"/>
              <w:jc w:val="left"/>
              <w:rPr/>
            </w:pPr>
            <w:r>
              <w:rPr/>
              <w:t> </w:t>
            </w:r>
          </w:p>
        </w:tc>
        <w:tc>
          <w:tcPr>
            <w:tcW w:w="661" w:type="dxa"/>
            <w:tcBorders/>
            <w:shd w:fill="CCECFF" w:val="clear"/>
            <w:vAlign w:val="center"/>
          </w:tcPr>
          <w:p>
            <w:pPr>
              <w:pStyle w:val="TableContents"/>
              <w:bidi w:val="0"/>
              <w:spacing w:before="0" w:after="1"/>
              <w:ind w:left="0" w:right="0" w:hanging="0"/>
              <w:jc w:val="righ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62,475</w:t>
            </w:r>
          </w:p>
        </w:tc>
        <w:tc>
          <w:tcPr>
            <w:tcW w:w="32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13,190</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526,206</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9919" w:type="dxa"/>
            <w:tcBorders/>
            <w:vAlign w:val="center"/>
          </w:tcPr>
          <w:p>
            <w:pPr>
              <w:pStyle w:val="TableContents"/>
              <w:bidi w:val="0"/>
              <w:spacing w:before="0" w:after="283"/>
              <w:ind w:left="0" w:right="0" w:hanging="0"/>
              <w:jc w:val="left"/>
              <w:rPr>
                <w:sz w:val="4"/>
                <w:szCs w:val="4"/>
              </w:rPr>
            </w:pPr>
            <w:r>
              <w:rPr>
                <w:sz w:val="4"/>
                <w:szCs w:val="4"/>
              </w:rPr>
            </w:r>
          </w:p>
        </w:tc>
      </w:tr>
      <w:tr>
        <w:trPr/>
        <w:tc>
          <w:tcPr>
            <w:tcW w:w="286" w:type="dxa"/>
            <w:tcBorders/>
            <w:vAlign w:val="center"/>
          </w:tcPr>
          <w:p>
            <w:pPr>
              <w:pStyle w:val="TableContents"/>
              <w:bidi w:val="0"/>
              <w:spacing w:before="0" w:after="0"/>
              <w:ind w:left="0" w:right="0" w:hanging="0"/>
              <w:jc w:val="left"/>
              <w:rPr/>
            </w:pPr>
            <w:r>
              <w:rPr/>
              <w:t>​</w:t>
            </w:r>
          </w:p>
        </w:tc>
        <w:tc>
          <w:tcPr>
            <w:tcW w:w="9919" w:type="dxa"/>
            <w:tcBorders/>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991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amounts reflect the full grant date fair value for awards granted during the indicated year. The grant date fair value was computed in accordance with ASC Topic 718, Compensation-Stock Compensation. The assumptions we used in valuing options are described in Note 9 to our audited financial statements included in this Form 10-K.</w:t>
            </w:r>
          </w:p>
        </w:tc>
      </w:tr>
      <w:tr>
        <w:trPr/>
        <w:tc>
          <w:tcPr>
            <w:tcW w:w="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9919" w:type="dxa"/>
            <w:tcBorders/>
            <w:vAlign w:val="center"/>
          </w:tcPr>
          <w:p>
            <w:pPr>
              <w:pStyle w:val="TableContents"/>
              <w:bidi w:val="0"/>
              <w:spacing w:before="0" w:after="120"/>
              <w:ind w:left="88" w:right="0" w:hanging="0"/>
              <w:jc w:val="left"/>
              <w:rPr>
                <w:rFonts w:ascii="Times New Roman;Times;serif" w:hAnsi="Times New Roman;Times;serif"/>
                <w:sz w:val="20"/>
              </w:rPr>
            </w:pPr>
            <w:r>
              <w:rPr>
                <w:rFonts w:ascii="Times New Roman;Times;serif" w:hAnsi="Times New Roman;Times;serif"/>
                <w:sz w:val="20"/>
              </w:rPr>
              <w:t>The table below details the amounts reported as all other compensation for 2023 include $23,412 in health benefits and $19,300 in 401(k) contributions for Dane C. Andreeff, $20,451 in health benefits and $30,000 in 401(k) contributions for Jeffrey S. Mathiesen, and $17,089 in health benefits and $18,750 in 401(k) contributions for Antonella Favit-Van Pelt along with life insurance premiums for each of the NEOs.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Narrative to Summary Compensation Table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compensation program for the Company’s named executive officers for 2023 had three primary components: base salary, annual bonus and equity grants.</w:t>
      </w:r>
    </w:p>
    <w:p>
      <w:pPr>
        <w:pStyle w:val="TextBody"/>
        <w:bidi w:val="0"/>
        <w:spacing w:before="0" w:after="0"/>
        <w:ind w:left="0" w:right="0" w:firstLine="720"/>
        <w:jc w:val="left"/>
        <w:rPr/>
      </w:pPr>
      <w:r>
        <w:rPr/>
        <w:t>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Annual Base Salary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entered into employment agreements with each of our named executive officers that establish annual base salaries, which are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 On February 14, 2023, our Compensation Committee, in consultation with an independent compensation consultant, Grant Thornton LLP, approved a 5% increase to the base salaries of our executive officers for 2023 as an adjustment to account for cost of living increases.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Mr. Andreeff. </w:t>
      </w:r>
      <w:r>
        <w:rPr>
          <w:rFonts w:ascii="Times New Roman;Times;serif" w:hAnsi="Times New Roman;Times;serif"/>
          <w:sz w:val="20"/>
        </w:rPr>
        <w:t>Pursuant to the Interim President and CEO Employment Letter Agreement entered into with Mr. Andreeff on August 23, 2020, Mr. Andreeff elected to take no additional compensation in return for his service as Interim President and Chief Executive Officer. Additionally, since he was not a member of any Board committees, Mr. Andreeff was not eligible for any additional cash retainer in respect of committee membership in 2022. Effective with his appointment as President and Chief Executive Officer on June 14, 2021, the Company entered into an employment agreement with Mr. Andreeff that provides for an annual base salary of $350,000 subject to annual review by the Compensation Committee. As a result of our Compensation Committee’s decision to increase our executive officers’ salaries by 5% to account for increases in cost of living, Mr. Andreeff’s annual base salary for 2023 was $386,000.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Mr. Mathiesen. </w:t>
      </w:r>
      <w:r>
        <w:rPr>
          <w:rFonts w:ascii="Times New Roman;Times;serif" w:hAnsi="Times New Roman;Times;serif"/>
          <w:sz w:val="20"/>
        </w:rPr>
        <w:t>Effective with his appointment as Chief Financial Officer, Treasurer and Secretary on June 14, 2021, the Company entered into an employment agreement with Mr. Mathiesen that provides for an annual base salary of $335,000, subject to annual review by the Compensation Committee. As a result of our Compensation Committee’s decision to increase our executive officers’ salaries by 5% to account for increases in cost of living, Mr. Mathiesen’s annual base salary for 2023 was $370,000.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Dr. Favit-Van Pelt. </w:t>
      </w:r>
      <w:r>
        <w:rPr>
          <w:rFonts w:ascii="Times New Roman;Times;serif" w:hAnsi="Times New Roman;Times;serif"/>
          <w:sz w:val="20"/>
        </w:rPr>
        <w:t>Effective with her appointment as Chief Medical Officer on July 7, 2021, the Company entered into an employment agreement with Dr. Favit-Van Pelt that provides for an annual base salary of $340,000, subject to annual review by the Compensation Committee. As a result of our Compensation Committee’s decision to increase our executive officers’ salaries by 5% to account for increases in cost of living, Ms. Favit-Van Pelt’s annual base salary for 2023 was $375,000.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Non-Equity Incentive Plan</w:t>
      </w:r>
    </w:p>
    <w:p>
      <w:pPr>
        <w:pStyle w:val="TextBody"/>
        <w:bidi w:val="0"/>
        <w:spacing w:before="120" w:after="0"/>
        <w:ind w:left="0" w:right="0" w:hanging="0"/>
        <w:jc w:val="left"/>
        <w:rPr>
          <w:rFonts w:ascii="Times New Roman;Times;serif" w:hAnsi="Times New Roman;Times;serif"/>
          <w:sz w:val="20"/>
        </w:rPr>
      </w:pPr>
      <w:bookmarkStart w:id="100" w:name="ny20002715x2_def14a_107-executive_pg4"/>
      <w:bookmarkEnd w:id="100"/>
      <w:r>
        <w:rPr>
          <w:rFonts w:ascii="Times New Roman;Times;serif" w:hAnsi="Times New Roman;Times;serif"/>
          <w:sz w:val="20"/>
        </w:rPr>
        <w:t xml:space="preserve">In 2023, each of the Company’s named executive officers had a target bonus, set forth as a percentage of annual base salary. Pursuant to the employment agreements between the Company and Messrs. Andreeff and Mathiesen, target bonuses for Messrs. Andreeff and Mathiesen were set at 50% and 40%, respectively, with the Compensation Committee able to determine that a portion of such target be paid in equity in lieu of cash. Under the employment agreement between the Company and Dr. Favit-Van Pelt, her target bonus was set at 35%.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February 2023, the Compensation Committee recommended, and the Board approved, performance targets for fiscal 2023 that it would consider in approving bonus payments for 2023. These targets included various corporate objectives related to company revenue goals, financing goals, clinical research and development goals, and a goal related to the transition of the Company’s manufacturer.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February 2024, the Compensation Committee determined that 50% of the performance targets had been met, and approved the bonus payments to Mr. Andreeff, Mr. Mathiesen, and Dr. Favit-Van Pelt at 50% of their respective targets.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Equity-Based Awards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equity-based incentive awards which are mainly comprised of stock options are designed to align our interests with those of our employees and consultants, including our named executive officers. Our Compensation Committee has responsibility for granting equity-based incentive awards to our named executive officers. Vesting of equity awards is generally tied to continuous service with us and serves as an additional retention measure. Our executives generally are awarded an initial new hire grant upon commencement of employment. Additional grants may occur periodically in order to specifically incentivize executives with respect to achieving certain corporate goals or to reward executives for exceptional performance.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14, 2023, our Board, upon recommendation of the Compensation Committee, approved the grant of an option to purchase 5,181,000 shares of Common Stock to Mr. Andreeff, an option to purchase 2,693,000 shares of Common Stock to Mr. Mathiesen, and an option to purchase 1,463,000 shares of common stock to Ms. Favit-Van Pelt pursuant to the Company’s 2022 </w:t>
      </w:r>
      <w:r>
        <w:rPr>
          <w:rFonts w:ascii="Times New Roman;Times;serif" w:hAnsi="Times New Roman;Times;serif"/>
          <w:spacing w:val="4"/>
          <w:sz w:val="20"/>
        </w:rPr>
        <w:t>Equity Incentive Plan</w:t>
      </w:r>
      <w:r>
        <w:rPr>
          <w:rFonts w:ascii="Times New Roman;Times;serif" w:hAnsi="Times New Roman;Times;serif"/>
          <w:sz w:val="20"/>
        </w:rPr>
        <w:t xml:space="preserve"> (the “</w:t>
      </w:r>
      <w:r>
        <w:rPr>
          <w:rFonts w:ascii="Times New Roman;Times;serif" w:hAnsi="Times New Roman;Times;serif"/>
          <w:b/>
          <w:i/>
          <w:sz w:val="20"/>
        </w:rPr>
        <w:t>2022 Plan</w:t>
      </w:r>
      <w:r>
        <w:rPr>
          <w:rFonts w:ascii="Times New Roman;Times;serif" w:hAnsi="Times New Roman;Times;serif"/>
          <w:sz w:val="20"/>
        </w:rPr>
        <w:t xml:space="preserve">”). Each of these stock options has an exercise price equal to the fair market value of a share of Common Stock as of the grant date, as determined in accordance with our 2022 Plan. Each of stock options granted to Messrs. Andreeff and Mathiesen and Ms. Favit-Van Pelt,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 in a series of twelve successive equal quarterly installments on the last day of each fiscal quarter beginning on March 31,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Retirement Benefits and Other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named executive officers do not participate in, or otherwise receive any benefits under, any pension or deferred compensation plan sponsored by us. We provide our employees a percentage match to the contributions made by our employees to the Company’s 401(k) savings plan and we provide life insurance benefits to our named executive officers. Our named executive officers were eligible to participate in our employee benefits, including health benefits, on the same basis as our other employees. We generally do not provide perquisites or personal benefits except in limited circumstances.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Employment Agreement and Arrangements (including Payments upon Termination or Change in Control)</w:t>
      </w:r>
    </w:p>
    <w:p>
      <w:pPr>
        <w:pStyle w:val="TextBody"/>
        <w:bidi w:val="0"/>
        <w:spacing w:before="0" w:after="0"/>
        <w:ind w:left="0" w:right="0" w:hanging="0"/>
        <w:jc w:val="both"/>
        <w:rPr/>
      </w:pPr>
      <w:r>
        <w:rPr/>
        <w:t>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is a description of our current executive employment agreements: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Dane C. Andreeff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Company’s appointment of Mr. Andreeff as President and Chief Executive Officer on June 14, 2021, the Company entered into an Employment Agreement with Mr. Andreeff (the “</w:t>
      </w:r>
      <w:r>
        <w:rPr>
          <w:rFonts w:ascii="Times New Roman;Times;serif" w:hAnsi="Times New Roman;Times;serif"/>
          <w:b/>
          <w:i/>
          <w:sz w:val="20"/>
        </w:rPr>
        <w:t>Andreeff Employment Agreement</w:t>
      </w:r>
      <w:r>
        <w:rPr>
          <w:rFonts w:ascii="Times New Roman;Times;serif" w:hAnsi="Times New Roman;Times;serif"/>
          <w:sz w:val="20"/>
        </w:rPr>
        <w:t>”). The Andreeff Employment Agreement has an initial term of three years beginning on June 14, 2021 and automatically renews for an additional one year period at the end of the initial term and each anniversary thereafter, provided that at least 90 days prior to the expiration of the initial term or any renewal term the Board does not notify Mr. Andreeff of its intention not to renew.</w:t>
      </w:r>
    </w:p>
    <w:p>
      <w:pPr>
        <w:pStyle w:val="TextBody"/>
        <w:bidi w:val="0"/>
        <w:spacing w:before="0" w:after="0"/>
        <w:ind w:left="0" w:right="0" w:hanging="0"/>
        <w:jc w:val="left"/>
        <w:rPr/>
      </w:pPr>
      <w:bookmarkStart w:id="101" w:name="ny20002715x2_def14a_107-executive_pg6"/>
      <w:bookmarkEnd w:id="101"/>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Andreeff Employment Agreement entitles Mr. Andreeff to, among other benefits, the following compensation:</w:t>
      </w:r>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base salary of $350,000, reviewed at least annually;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cash bonus in an amount of up to 50% of annual base salary; provided, that the Company may elect to pay up to 50% of any earned annual bonus in fully vested shares of common stock in lieu of cash;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equity-based long-term incentive compensation plans generally available to senior executive officers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welfare benefit plans, practices, policies and programs (including, without limitation, medical, prescription, dental, disability, employee life, group life, accidental death and travel accident insurance plans and programs) made available to other senior executive officers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 reimbursement for all reasonable expenses in accordance with the plans, practices, policies and programs of the Company; and</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w:t>
            </w:r>
            <w:r>
              <w:rPr>
                <w:caps w:val="false"/>
                <w:smallCaps w:val="false"/>
              </w:rPr>
              <w:t xml:space="preserve"> </w:t>
            </w:r>
            <w:r>
              <w:rPr>
                <w:rFonts w:ascii="Times New Roman;Times;serif" w:hAnsi="Times New Roman;Times;serif"/>
                <w:b w:val="false"/>
                <w:i w:val="false"/>
                <w:caps w:val="false"/>
                <w:smallCaps w:val="false"/>
                <w:sz w:val="20"/>
              </w:rPr>
              <w:t>days of paid vacation, to be taken in accordance with the Company’s policies and practices.</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the event that the Company consummates a transaction that constitutes a Change in Control (as defined in the Andreeff Employment Agreement), all of the unvested shares underlying Mr. Andreeff’s options will fully vest and become exercisable immediately prior to the effectiveness of such Change in Control. In the event of Mr. Andreeff’s death during the employment period or a termination due to disability, for cause by the Company or as a result of resignation without good reason, Mr. Andreeff or his beneficiaries or legal representatives will be provided any annual base salary earned, but unpaid, for services rendered to the Company on or prior to the date on which the employment period ends and the following additional other benefits under the Andreeff Employment Agreement (the “</w:t>
      </w:r>
      <w:r>
        <w:rPr>
          <w:rFonts w:ascii="Times New Roman;Times;serif" w:hAnsi="Times New Roman;Times;serif"/>
          <w:b/>
          <w:i/>
          <w:sz w:val="20"/>
        </w:rPr>
        <w:t>Unconditional Entitlements</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benefits payable to Mr. Andreeff under any employee benefit plans (including, without limitation any pension plans or 401(k) plans) of the Company or any of its affiliates applicable to Mr. Andreeff at the time of his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employment and all amounts and benefits (other than the Conditional Benefits) which are vested or which Mr. Andreeff is otherwise entitled to receive under the terms of any plan, policy, practice or program of, or any contract or agreement with, the Company, at or subsequent to the Termination Date without regard to the performance by Mr. Andreeff of further services or the resolution of a contingency, will be paid or provided according to the terms of such plans, as determined on the basis of the actual date of termination of Mr. Andreeff’s employment with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which Mr. Andreeff may have to claim a defense and/or indemnity for liabilities to or claims asserted by third parties in connection with Mr. Andreeff’s activities as an officer, director or employee of the Company shall be unaffected by Mr. Andreeff’s termination of employment and shall remain in effect;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Andreeff will be entitled to continuation of health care coverage as is required under, and in accordance with, applicable law or otherwise provided in accordance with the Company’s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Andreeff will be entitled to reimbursement, in accordance with the Company’s policies regarding expense reimbursement for all business expenses incurred prior to the Termination Date;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Except to the extent additional rights are provided upon Mr. Andreeff’s qualifying to receive the Conditional Benefits (as defined in the Andreeff Employment Agreement), Mr. Andreeff’s rights with respect to any stock option, restricted</w:t>
            </w:r>
            <w:r>
              <w:rPr>
                <w:caps w:val="false"/>
                <w:smallCaps w:val="false"/>
              </w:rPr>
              <w:t xml:space="preserve"> </w:t>
            </w:r>
            <w:r>
              <w:rPr>
                <w:rFonts w:ascii="Times New Roman;Times;serif" w:hAnsi="Times New Roman;Times;serif"/>
                <w:b w:val="false"/>
                <w:i w:val="false"/>
                <w:caps w:val="false"/>
                <w:smallCaps w:val="false"/>
                <w:sz w:val="20"/>
              </w:rPr>
              <w:t>stock or other equity award granted by the Company will be governed by the terms and provisions of the applicable equity incentive plan, stock option award documents or grant agreement.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of a resignation by Mr. Andreeff for good reason, the exercise by the Company of its right to terminate his employment other than for cause, death or disability or the Company’s election not to extend the employment period upon expiration of the initial term or any renewal term (not within twelve months following or three months prior to the effective date of a Change in Control), Mr. Andreeff will receive the Unconditional Entitlements and, subject to his signing and delivering to the Company and not revoking a general release of claims in favor of the Company and certain related parties, the Company shall provide Mr. Andreeff (i) a severance amount equal to the sum of his annual base salary as of the termination date and a pro-rated portion of his cash bonus for the year in which the termination occurs, (ii) Company-paid continued medical coverage for up to twelve months following such termination, and (iii) continued vesting of equity awards that would have vested if he had remained employed with the Company through the end of the then remaining portion of the initial term or the renewal term, as applicable (the “</w:t>
      </w:r>
      <w:r>
        <w:rPr>
          <w:rFonts w:ascii="Times New Roman;Times;serif" w:hAnsi="Times New Roman;Times;serif"/>
          <w:b/>
          <w:i/>
          <w:sz w:val="20"/>
        </w:rPr>
        <w:t>Conditional Benefits</w:t>
      </w:r>
      <w:r>
        <w:rPr>
          <w:rFonts w:ascii="Times New Roman;Times;serif" w:hAnsi="Times New Roman;Times;serif"/>
          <w:sz w:val="20"/>
        </w:rPr>
        <w:t>”). In the event of a resignation by Mr. Andreeff for good reason, the exercise by the Company of its right to terminate his employment other than for cause, death or disability or the Company’s election not to extend the employment period upon expiration of the initial term or any renewal term, in each case, within twelve months following or three months prior to the effective date of a Change in Control, Mr. Andreeff shall receive (i) the Unconditional Entitlements, (ii) 2.0 times the sum of his annual base salary and target cash bonus, (iii) accelerated vesting of all equity awards that were assumed, continued or substituted by the surviving or acquiring corporation in the Change in Control and remain subject to time-based vesting conditions, if any, and (iv) the Conditional Benefits except the severance amount provided in the Andreeff Employment Agreement. During employment and for the one year period after termination, Mr. Andreeff is subject to non-solicitation and non-competition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Jeffrey S. Mathiesen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company’s appointment of Mr. Mathiesen as Chief Financial Officer, Treasurer and Secretary on June 14, 2021, the Company entered into an Employment Agreement with Mr. Mathiesen (the “</w:t>
      </w:r>
      <w:r>
        <w:rPr>
          <w:rFonts w:ascii="Times New Roman;Times;serif" w:hAnsi="Times New Roman;Times;serif"/>
          <w:b/>
          <w:i/>
          <w:sz w:val="20"/>
        </w:rPr>
        <w:t>Mathiesen Employment Agreement</w:t>
      </w:r>
      <w:r>
        <w:rPr>
          <w:rFonts w:ascii="Times New Roman;Times;serif" w:hAnsi="Times New Roman;Times;serif"/>
          <w:sz w:val="20"/>
        </w:rPr>
        <w:t>”). The Mathiesen Employment Agreement has an initial term of three years beginning on June 14, 2021 and automatically renews for an additional one year period at the end of the initial term and each anniversary thereafter, provided that at least 90 days prior to the expiration of the initial term or any renewal term the Board does not notify Mr. Mathiesen of its intention not to renew.</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Employment Agreement entitles Mr. Mathiesen to, among other benefits, the following compensation:</w:t>
      </w:r>
    </w:p>
    <w:p>
      <w:pPr>
        <w:pStyle w:val="Normal"/>
        <w:bidi w:val="0"/>
        <w:spacing w:before="0" w:after="0"/>
        <w:jc w:val="left"/>
        <w:rPr>
          <w:sz w:val="4"/>
          <w:szCs w:val="4"/>
        </w:rPr>
      </w:pPr>
      <w:r>
        <w:rPr>
          <w:sz w:val="4"/>
          <w:szCs w:val="4"/>
        </w:rPr>
      </w:r>
      <w:bookmarkStart w:id="102" w:name="ny20002715x2_def14a_107-executive_pg8"/>
      <w:bookmarkStart w:id="103" w:name="ny20002715x2_def14a_107-executive_pg8"/>
      <w:bookmarkEnd w:id="103"/>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base salary of $335,000, reviewed at least annually;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cash bonus in an amount of up to 40% of annual base salary, provided, that the Company may elect to pay up to 70% of any earned annual bonus in fully vested shares of common stock in lieu of cash;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equity-based long-term incentive compensation plans generally available to senior executive officers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welfare benefit plans, practices, policies and programs (including, without limitation, medical, prescription, dental, disability, employee life, group life, accidental death and travel accident insurance plans and programs) made available to other senior executive officers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Prompt reimbursement for all reasonable expenses in accordance with the plans, practices, policies and programs</w:t>
            </w:r>
            <w:r>
              <w:rPr>
                <w:caps w:val="false"/>
                <w:smallCaps w:val="false"/>
              </w:rPr>
              <w:t xml:space="preserve"> </w:t>
            </w:r>
            <w:r>
              <w:rPr>
                <w:rFonts w:ascii="Times New Roman;Times;serif" w:hAnsi="Times New Roman;Times;serif"/>
                <w:b w:val="false"/>
                <w:i w:val="false"/>
                <w:caps w:val="false"/>
                <w:smallCaps w:val="false"/>
                <w:sz w:val="20"/>
              </w:rPr>
              <w:t>of the Company; and</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days of paid vacation, to be taken in accordance with the Company’s policies and practices.</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the event that the Company consummates a transaction that constitutes a Change in Control (as defined in the Mathiesen Employment Agreement), all of the unvested shares underlying Mr. Mathiesen’s options will fully vest and become exercisable immediately prior to the effectiveness of such Change in Control. In the event of Mr. Mathiesen’s death during the employment period or a termination due to disability, for cause by the Company or as a result of resignation without good reason, Mr. Mathiesen or his beneficiaries or legal representatives will be provided any annual base salary earned, but unpaid, for services rendered to the Company on or prior to the date on which the employment period ends and the following additional other benefits under the Mathiesen Employment Agreement (the “</w:t>
      </w:r>
      <w:r>
        <w:rPr>
          <w:rFonts w:ascii="Times New Roman;Times;serif" w:hAnsi="Times New Roman;Times;serif"/>
          <w:b/>
          <w:i/>
          <w:sz w:val="20"/>
        </w:rPr>
        <w:t>Unconditional Entitlements</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benefits payable to Mr. Mathiesen under any employee benefit plans (including, without limitation any pension plans or 401(k) plans) of the Company or any of its affiliates applicable to Mr. Mathiesen at the time of his termination of employment and all amounts and benefits (other than the Conditional Benefits (as defined in the Mathiesen Employment Agreement)) which are vested or which Mr. Mathiesen is otherwise entitled to receive under the terms of any plan, policy, practice or program of, or any contract or agreement with, the Company, at or subsequent to the termination date without regard to the performance by Mr. Mathiesen of further services or the resolution of a contingency, will be paid or provided according to the terms of such plans, as determined on the basis of the actual date of termination of Mr. Mathiesen’s employment with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which Mr. Mathiesen may have to claim a defense and/or indemnity for liabilities to or claims asserted by third parties in connection with Mr. Mathiesen’s activities as an officer, director or employee of the Company shall be unaffected by Mr. Mathiesen’s termination of employment and shall remain in effect;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Mathiesen will be entitled to continuation of health care coverage as is required under, and in accordance with, applicable law or otherwise provided in accordance with the Company’s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Mathiesen will be entitled to reimbursement, in accordance with the Company’s policies regarding expense reimbursement for all business expenses incurred prior to the Termination Date;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additional rights are provided upon Mr. Mathiesen’s qualifying to receive the Conditional Benefits, Mr. Mathiesen’s rights with respect to any stock option, restricted stock or other equity award granted by the Company will be governed by the terms and provisions of the applicable equity incentive plan, stock option award documents or grant agreement.</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xml:space="preserve">In the event of a resignation by Mr. Mathiesen for good reason, the exercise by the Company of its right to terminate his employment other than for cause, death or disability or the Company’s election not to extend the employment period upon expiration of the initial term or any renewal term (not within twelve months following or three months prior to the effective date of a Change in Control), Mr. Mathiesen will receive the Unconditional Entitlements and, subject to his signing and delivering to the Company and not revoking a general release of claims in favor of the Company and certain related parties, the Company shall provide Mr. Mathiesen (i) a severance amount equal to the sum of his annual base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4" w:name="ny20002715x2_def14a_107-executive_pg9"/>
      <w:bookmarkEnd w:id="104"/>
      <w:r>
        <w:rPr>
          <w:rFonts w:ascii="Times New Roman;Times;serif" w:hAnsi="Times New Roman;Times;serif"/>
          <w:sz w:val="20"/>
        </w:rPr>
        <w:t>salary as of the termination date and a pro-rated portion of his cash bonus for the year in which the termination occurs, (ii) Company-paid continued medical coverage for up to twelve months following such termination, and (iii) continued vesting of equity awards that would have vested if he had remained employed with the Company through the end of the then remaining portion of the Initial Term or the Renewal Term, as applicable (the “</w:t>
      </w:r>
      <w:r>
        <w:rPr>
          <w:rFonts w:ascii="Times New Roman;Times;serif" w:hAnsi="Times New Roman;Times;serif"/>
          <w:b/>
          <w:i/>
          <w:sz w:val="20"/>
        </w:rPr>
        <w:t>Conditional Benefits</w:t>
      </w:r>
      <w:r>
        <w:rPr>
          <w:rFonts w:ascii="Times New Roman;Times;serif" w:hAnsi="Times New Roman;Times;serif"/>
          <w:sz w:val="20"/>
        </w:rPr>
        <w:t>”). In the event of a resignation by Mr. Mathiesen for good reason, the exercise by the Company of its right to terminate his employment other than for cause, death or disability or the Company’s election not to extend the employment period upon expiration of the Initial Term or any renewal term, in each case, within twelve months following or three months prior to the effective date of a Change in Control, Mr. Mathiesen shall receive (i) the Unconditional Entitlements, (ii) 1.5 times the sum of his annual base salary and target cash bonus, (iii) accelerated vesting of all equity awards that were assumed, continued or substituted by the surviving or acquiring corporation in the Change in Control and remain subject to time-based vesting conditions, if any, and (iv) the Conditional Benefits except the severance amount. During employment and for the one year period after termination, Mr. Mathiesen is subject to non-solicitation and non-competition requirements.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Antonella Favit-Van Pelt, M.D., Ph.D.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with her appointment as Chief Medical Officer on July 7, 2021, Dr. Favit-Van Pelt and the Company entered into an employment agreement (the “</w:t>
      </w:r>
      <w:r>
        <w:rPr>
          <w:rFonts w:ascii="Times New Roman;Times;serif" w:hAnsi="Times New Roman;Times;serif"/>
          <w:b/>
          <w:i/>
          <w:sz w:val="20"/>
        </w:rPr>
        <w:t>Favit-Van Pelt Employment Agreement</w:t>
      </w:r>
      <w:r>
        <w:rPr>
          <w:rFonts w:ascii="Times New Roman;Times;serif" w:hAnsi="Times New Roman;Times;serif"/>
          <w:sz w:val="20"/>
        </w:rPr>
        <w:t>”) with an initial term of three years beginning on July 7, 2021 and which automatically renews for an additional one year period at the end of the initial term and each anniversary thereafter, provided that at least 90 days prior to the expiration of the initial term or any renewal term the Board does not notify Dr. Favit-Van Pelt of its intention not to renew.</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Favit-Van Pelt Employment Agreement entitles Dr. Favit-Van Pelt to, among other benefits, the following compensation:</w:t>
      </w:r>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base salary of $340,000, reviewed at least annually;</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cash bonus in an amount of up to 35% of annual base salary;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equity-based long-term incentive compensation plans generally available to senior executive officers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welfare benefit plans, practices, policies and programs (including, without limitation, medical, prescription, dental, disability, employee life, group life, accidental death and travel accident insurance plans and programs) made available to other senior executive officers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 reimbursement for all reasonable expenses in accordance with the plans, practices, policies and programs of the Company; and</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 days</w:t>
            </w:r>
            <w:r>
              <w:rPr>
                <w:caps w:val="false"/>
                <w:smallCaps w:val="false"/>
              </w:rPr>
              <w:t xml:space="preserve"> </w:t>
            </w:r>
            <w:r>
              <w:rPr>
                <w:rFonts w:ascii="Times New Roman;Times;serif" w:hAnsi="Times New Roman;Times;serif"/>
                <w:b w:val="false"/>
                <w:i w:val="false"/>
                <w:caps w:val="false"/>
                <w:smallCaps w:val="false"/>
                <w:sz w:val="20"/>
              </w:rPr>
              <w:t>of paid vacation, to be taken in accordance with the Company’s policies and practices.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that the Company consummates a transaction that constitutes a Change in Control (as defined in the Favit-Van Pelt Employment Agreement), all of the unvested shares underlying Dr. Favit-Van Pelt’s options will fully vest and become exercisable immediately prior to the effectiveness of such Change in Control. In the event of Dr. Favit-Van Pelt’s death during the employment period or a termination due to disability, for cause by the Company or as a result of resignation without good reason (the date of such termination, the “</w:t>
      </w:r>
      <w:r>
        <w:rPr>
          <w:rFonts w:ascii="Times New Roman;Times;serif" w:hAnsi="Times New Roman;Times;serif"/>
          <w:b/>
          <w:i/>
          <w:sz w:val="20"/>
        </w:rPr>
        <w:t>Termination Date</w:t>
      </w:r>
      <w:r>
        <w:rPr>
          <w:rFonts w:ascii="Times New Roman;Times;serif" w:hAnsi="Times New Roman;Times;serif"/>
          <w:sz w:val="20"/>
        </w:rPr>
        <w:t>”), Dr. Favit-Van Pelt or her beneficiaries or legal representatives will be provided any annual base salary earned, but unpaid, for services rendered to the Company on or prior to the date on which the employment period ends and the following additional other benefits under the Favit-Van Pelt Employment Agreement (the “</w:t>
      </w:r>
      <w:r>
        <w:rPr>
          <w:rFonts w:ascii="Times New Roman;Times;serif" w:hAnsi="Times New Roman;Times;serif"/>
          <w:b/>
          <w:i/>
          <w:sz w:val="20"/>
        </w:rPr>
        <w:t>Unconditional Entitlements</w:t>
      </w:r>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benefits payable to Dr. Favit-Van Pelt under any employee benefit plans (including, without limitation any pension plans or 401(k) plans) of the Company or any of its affiliates applicable to Dr. Favit-Van Pelt at the time of her termination of employment and all amounts and benefits (other than the Conditional Benefits) which are vested or which Dr. Favit-Van Pelt is otherwise entitled to receive under the terms of any plan, policy, practice or program of, or any contract or agreement with, the Company, at or subsequent to the Termination Date without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 to the performance by Dr. Favit-Van Pelt of further services or the resolution of a contingency, will be paid or provided according to the terms of such plans, as determined on the basis of the actual date of termination of Dr. Favit-Van Pelt’s employment with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which Dr. Favit-Van Pelt may have to claim a defense and/or indemnity for liabilities to or claims asserted by third parties in connection with Dr. Favit-Van Pelt’s activities as an officer, director or employee of the Company shall be unaffected by Dr. Favit-Van Pelt’s termination of employment and shall remain in effect;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Favit-Van Pelt will be entitled to continuation of health care coverage as is required under, and in accordance with, applicable law or otherwise provided in accordance with the Company’s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Favit-Van Pelt will be entitled to reimbursement, in accordance with the Company’s policies regarding expense reimbursement for all business expenses incurred prior to the Termination Date;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Except to the extent additional rights are provided upon Dr. Favit-Van Pelt’s qualifying to receive the Conditional Benefits (as defined in the Favit-Van Pelt Employment Agreement), Dr. Favit-Van Pelt’s rights with respect to any stock option, restricted stock or other equity award granted by the Company will be governed</w:t>
            </w:r>
            <w:r>
              <w:rPr>
                <w:caps w:val="false"/>
                <w:smallCaps w:val="false"/>
              </w:rPr>
              <w:t xml:space="preserve"> </w:t>
            </w:r>
            <w:r>
              <w:rPr>
                <w:rFonts w:ascii="Times New Roman;Times;serif" w:hAnsi="Times New Roman;Times;serif"/>
                <w:b w:val="false"/>
                <w:i w:val="false"/>
                <w:caps w:val="false"/>
                <w:smallCaps w:val="false"/>
                <w:sz w:val="20"/>
              </w:rPr>
              <w:t>by the terms and provisions of the applicable equity incentive plan, stock option award documents or grant agreement.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of a resignation by Dr. Favit-Van Pelt for good reason, the exercise by the Company of its right to terminate her employment other than for cause, death or disability or the Company’s election not to extend the employment period upon expiration of the initial term or any renewal term (not within twelve months following or three months prior to the effective date of a Change in Control), Dr. Favit-Van Pelt will receive the Unconditional Entitlements and, subject to her signing and delivering to the Company and not revoking a general release of claims in favor of the Company and certain related parties, the Company shall provide Dr. Favit-Van Pelt (i) a severance amount equal to the sum of her annual base salary as of the termination date and a pro-rated portion of her cash bonus for the year in which the termination occurs, (ii) Company-paid continued medical coverage for up to twelve months following such termination, and (iii) continued vesting of equity awards that would have vested if she had remained employed with the Company through the end of the then remaining portion of the Initial Term or the Renewal Term, as applicable (the “</w:t>
      </w:r>
      <w:r>
        <w:rPr>
          <w:rFonts w:ascii="Times New Roman;Times;serif" w:hAnsi="Times New Roman;Times;serif"/>
          <w:b/>
          <w:i/>
          <w:sz w:val="20"/>
        </w:rPr>
        <w:t>Conditional Benefits</w:t>
      </w:r>
      <w:r>
        <w:rPr>
          <w:rFonts w:ascii="Times New Roman;Times;serif" w:hAnsi="Times New Roman;Times;serif"/>
          <w:sz w:val="20"/>
        </w:rPr>
        <w:t>”). In the event of a resignation by Dr. Favit-Van Pelt for good reason, the exercise by the Company of its right to terminate her employment other than for cause, death or disability or the Company’s election not to extend the employment period upon expiration of the Initial Term or any Renewal Term, in each case, within twelve months following or three months prior to the effective date of a Change in Control, Dr. Favit-Van Pelt shall receive (i) the Unconditional Entitlements, (ii) 1.5 times the sum of her annual base salary and target cash bonus, (iii) accelerated vesting of all equity awards that were assumed, continued or substituted by the surviving or acquiring corporation in the Change in Control and remain subject to time-based vesting conditions, if any, and (iv) the Conditional Benefits except the severance amount. During employment and for the one year period after termination, Dr. Favit-Van Pelt is subject to non-solicitation and non-competition requirements.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of our named executive officers have outstanding awards under (i) 2018 Plan, (ii) the 2022 Plan and (iii) the Company’s 2021 Inducement Plan (the “</w:t>
      </w:r>
      <w:r>
        <w:rPr>
          <w:rFonts w:ascii="Times New Roman;Times;serif" w:hAnsi="Times New Roman;Times;serif"/>
          <w:b/>
          <w:i/>
          <w:sz w:val="20"/>
        </w:rPr>
        <w:t>Inducement Plan</w:t>
      </w:r>
      <w:r>
        <w:rPr>
          <w:rFonts w:ascii="Times New Roman;Times;serif" w:hAnsi="Times New Roman;Times;serif"/>
          <w:sz w:val="20"/>
        </w:rPr>
        <w:t>”, and together with the 2018 Plan and the 2022 Plan, the “</w:t>
      </w:r>
      <w:r>
        <w:rPr>
          <w:rFonts w:ascii="Times New Roman;Times;serif" w:hAnsi="Times New Roman;Times;serif"/>
          <w:b/>
          <w:i/>
          <w:sz w:val="20"/>
        </w:rPr>
        <w:t>Plans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2018 Plan and the 2022 Plan, the Compensation Committee may provide, in individual award agreements or in any other written agreement between a participant and the company that the award will be subject to additional acceleration of vesting and exercisability in the event of a termination of employment or change in control.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Inducement Plan, an award may be subject to additional acceleration of vesting and exercisability upon or after a change in control as may be provided in the award agreement for such award or as may be provided in any other written agreement between the Company and the participant, but in the absence of such provision, no such acceleration will automatically occur.</w:t>
      </w:r>
    </w:p>
    <w:p>
      <w:pPr>
        <w:pStyle w:val="TextBody"/>
        <w:bidi w:val="0"/>
        <w:spacing w:before="0" w:after="0"/>
        <w:ind w:left="0" w:right="0" w:firstLine="72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Outstanding Equity Awards at December 31, 2023</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set forth certain information about equity awards granted to our named executive officers that remain outstanding as of December 31, 2023.</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Option Awards</w:t>
      </w:r>
    </w:p>
    <w:p>
      <w:pPr>
        <w:pStyle w:val="TextBody"/>
        <w:bidi w:val="0"/>
        <w:spacing w:before="0" w:after="240"/>
        <w:ind w:left="0" w:right="0" w:hanging="0"/>
        <w:jc w:val="left"/>
        <w:rPr/>
      </w:pPr>
      <w:r>
        <w:rPr/>
        <w:t>​</w:t>
      </w:r>
    </w:p>
    <w:tbl>
      <w:tblPr>
        <w:tblW w:w="7554" w:type="dxa"/>
        <w:jc w:val="left"/>
        <w:tblInd w:w="0" w:type="dxa"/>
        <w:tblLayout w:type="fixed"/>
        <w:tblCellMar>
          <w:top w:w="0" w:type="dxa"/>
          <w:left w:w="0" w:type="dxa"/>
          <w:bottom w:w="0" w:type="dxa"/>
          <w:right w:w="0" w:type="dxa"/>
        </w:tblCellMar>
      </w:tblPr>
      <w:tblGrid>
        <w:gridCol w:w="2146"/>
        <w:gridCol w:w="326"/>
        <w:gridCol w:w="976"/>
        <w:gridCol w:w="326"/>
        <w:gridCol w:w="1111"/>
        <w:gridCol w:w="346"/>
        <w:gridCol w:w="931"/>
        <w:gridCol w:w="326"/>
        <w:gridCol w:w="106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62710" cy="175260"/>
                      <wp:effectExtent l="0" t="0" r="0" b="0"/>
                      <wp:wrapNone/>
                      <wp:docPr id="76" name="Frame72"/>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7"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19760" cy="175260"/>
                      <wp:effectExtent l="0" t="0" r="0" b="0"/>
                      <wp:wrapNone/>
                      <wp:docPr id="78" name="Frame7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9"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05485" cy="175260"/>
                      <wp:effectExtent l="0" t="0" r="0" b="0"/>
                      <wp:wrapNone/>
                      <wp:docPr id="80" name="Frame7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1"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1185" cy="175260"/>
                      <wp:effectExtent l="0" t="0" r="0" b="0"/>
                      <wp:wrapNone/>
                      <wp:docPr id="82" name="Frame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3"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76910" cy="175260"/>
                      <wp:effectExtent l="0" t="0" r="0" b="0"/>
                      <wp:wrapNone/>
                      <wp:docPr id="84" name="Frame8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21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2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Unexercisable</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146" w:type="dxa"/>
            <w:tcBorders/>
            <w:shd w:fill="CCEC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CFF" w:val="clear"/>
            <w:vAlign w:val="center"/>
          </w:tcPr>
          <w:p>
            <w:pPr>
              <w:pStyle w:val="TableContents"/>
              <w:bidi w:val="0"/>
              <w:spacing w:lineRule="auto" w:line="240" w:before="0" w:after="1"/>
              <w:ind w:left="0" w:right="0" w:hanging="0"/>
              <w:jc w:val="left"/>
              <w:rPr/>
            </w:pPr>
            <w:r>
              <w:rPr/>
              <w:t> </w:t>
            </w:r>
            <w:r>
              <w:rPr>
                <w:rFonts w:ascii="Times New Roman;Times;serif" w:hAnsi="Times New Roman;Times;serif"/>
                <w:sz w:val="15"/>
              </w:rPr>
              <w:t>(1)</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18,165.00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8/7/2027</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CFF" w:val="clear"/>
            <w:vAlign w:val="center"/>
          </w:tcPr>
          <w:p>
            <w:pPr>
              <w:pStyle w:val="TableContents"/>
              <w:bidi w:val="0"/>
              <w:spacing w:lineRule="auto" w:line="240" w:before="0" w:after="1"/>
              <w:ind w:left="0" w:right="0" w:hanging="0"/>
              <w:jc w:val="left"/>
              <w:rPr/>
            </w:pPr>
            <w:r>
              <w:rPr/>
              <w:t> </w:t>
            </w:r>
            <w:r>
              <w:rPr>
                <w:rFonts w:ascii="Times New Roman;Times;serif" w:hAnsi="Times New Roman;Times;serif"/>
                <w:sz w:val="15"/>
              </w:rPr>
              <w:t>(2)</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19,232.50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5/14/2028</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CFF" w:val="clear"/>
            <w:vAlign w:val="center"/>
          </w:tcPr>
          <w:p>
            <w:pPr>
              <w:pStyle w:val="TableContents"/>
              <w:bidi w:val="0"/>
              <w:spacing w:lineRule="auto" w:line="240" w:before="0" w:after="1"/>
              <w:ind w:left="0" w:right="0" w:hanging="0"/>
              <w:jc w:val="left"/>
              <w:rPr/>
            </w:pPr>
            <w:r>
              <w:rPr/>
              <w:t> </w:t>
            </w:r>
            <w:r>
              <w:rPr>
                <w:rFonts w:ascii="Times New Roman;Times;serif" w:hAnsi="Times New Roman;Times;serif"/>
                <w:sz w:val="15"/>
              </w:rPr>
              <w:t>(3)</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11,830.00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3/27/2029</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CFF" w:val="clear"/>
            <w:vAlign w:val="center"/>
          </w:tcPr>
          <w:p>
            <w:pPr>
              <w:pStyle w:val="TableContents"/>
              <w:bidi w:val="0"/>
              <w:spacing w:lineRule="auto" w:line="240" w:before="0" w:after="1"/>
              <w:ind w:left="0" w:right="0" w:hanging="0"/>
              <w:jc w:val="left"/>
              <w:rPr/>
            </w:pPr>
            <w:r>
              <w:rPr/>
              <w:t> </w:t>
            </w:r>
            <w:r>
              <w:rPr>
                <w:rFonts w:ascii="Times New Roman;Times;serif" w:hAnsi="Times New Roman;Times;serif"/>
                <w:sz w:val="15"/>
              </w:rPr>
              <w:t>(4)</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953.75</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6/9/2030</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CFF" w:val="clear"/>
            <w:vAlign w:val="center"/>
          </w:tcPr>
          <w:p>
            <w:pPr>
              <w:pStyle w:val="TableContents"/>
              <w:bidi w:val="0"/>
              <w:spacing w:lineRule="auto" w:line="240" w:before="0" w:after="1"/>
              <w:ind w:left="0" w:right="0" w:hanging="0"/>
              <w:jc w:val="left"/>
              <w:rPr/>
            </w:pPr>
            <w:r>
              <w:rPr/>
              <w:t> </w:t>
            </w:r>
            <w:r>
              <w:rPr>
                <w:rFonts w:ascii="Times New Roman;Times;serif" w:hAnsi="Times New Roman;Times;serif"/>
                <w:sz w:val="15"/>
              </w:rPr>
              <w:t>(5)</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665.00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5/24/2031</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CFF" w:val="clear"/>
            <w:vAlign w:val="center"/>
          </w:tcPr>
          <w:p>
            <w:pPr>
              <w:pStyle w:val="TableContents"/>
              <w:bidi w:val="0"/>
              <w:spacing w:lineRule="auto" w:line="240" w:before="0" w:after="1"/>
              <w:ind w:left="0" w:right="0" w:hanging="0"/>
              <w:jc w:val="left"/>
              <w:rPr/>
            </w:pPr>
            <w:r>
              <w:rPr/>
              <w:t> </w:t>
            </w:r>
            <w:r>
              <w:rPr>
                <w:rFonts w:ascii="Times New Roman;Times;serif" w:hAnsi="Times New Roman;Times;serif"/>
                <w:sz w:val="15"/>
              </w:rPr>
              <w:t>(6)</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667.50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6/1/2031</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4,248</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shd w:fill="CCEC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778.50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6/13/2031</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2,336</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w:t>
            </w:r>
          </w:p>
        </w:tc>
        <w:tc>
          <w:tcPr>
            <w:tcW w:w="346" w:type="dxa"/>
            <w:tcBorders/>
            <w:shd w:fill="CCEC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(9)</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234.00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5/22/2032</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346" w:type="dxa"/>
            <w:tcBorders/>
            <w:shd w:fill="CCEC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(10)</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9/12/2032</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34,540</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69,080</w:t>
            </w:r>
          </w:p>
        </w:tc>
        <w:tc>
          <w:tcPr>
            <w:tcW w:w="346" w:type="dxa"/>
            <w:tcBorders/>
            <w:shd w:fill="CCEC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(14)</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15.45</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2/13/2033</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953.75</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6/9/2030</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665.00</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5/24/2031</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778.50</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6/13/2031</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(11)</w:t>
            </w: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234.00</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5/22/2032</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(10)</w:t>
            </w: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9/12/2032</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17,952</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35,908</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(14)</w:t>
            </w: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15.45</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2/13/2033</w:t>
            </w:r>
          </w:p>
        </w:tc>
      </w:tr>
      <w:tr>
        <w:trPr/>
        <w:tc>
          <w:tcPr>
            <w:tcW w:w="2146" w:type="dxa"/>
            <w:tcBorders/>
            <w:shd w:fill="CCEC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Antonella Favit-Van Pelt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C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(8)</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822.50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7/6/2031</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C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(12)</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234.00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2/15/2032</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C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(13)</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9/12/2032</w:t>
            </w:r>
          </w:p>
        </w:tc>
      </w:tr>
      <w:tr>
        <w:trPr/>
        <w:tc>
          <w:tcPr>
            <w:tcW w:w="2146" w:type="dxa"/>
            <w:tcBorders/>
            <w:shd w:fill="CCECFF" w:val="clear"/>
            <w:vAlign w:val="center"/>
          </w:tcPr>
          <w:p>
            <w:pPr>
              <w:pStyle w:val="TableContents"/>
              <w:bidi w:val="0"/>
              <w:spacing w:before="0" w:after="1"/>
              <w:ind w:left="0" w:right="0" w:hanging="0"/>
              <w:jc w:val="left"/>
              <w:rPr/>
            </w:pPr>
            <w:r>
              <w:rPr/>
              <w:t>​</w:t>
            </w:r>
          </w:p>
        </w:tc>
        <w:tc>
          <w:tcPr>
            <w:tcW w:w="32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9,752</w:t>
            </w:r>
          </w:p>
        </w:tc>
        <w:tc>
          <w:tcPr>
            <w:tcW w:w="326" w:type="dxa"/>
            <w:tcBorders/>
            <w:shd w:fill="CCECFF" w:val="clear"/>
            <w:vAlign w:val="center"/>
          </w:tcPr>
          <w:p>
            <w:pPr>
              <w:pStyle w:val="TableContents"/>
              <w:bidi w:val="0"/>
              <w:spacing w:before="0" w:after="1"/>
              <w:ind w:left="0" w:right="0" w:hanging="0"/>
              <w:jc w:val="left"/>
              <w:rPr/>
            </w:pPr>
            <w:r>
              <w:rPr/>
              <w:t> </w:t>
            </w:r>
          </w:p>
        </w:tc>
        <w:tc>
          <w:tcPr>
            <w:tcW w:w="111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19,508</w:t>
            </w:r>
          </w:p>
        </w:tc>
        <w:tc>
          <w:tcPr>
            <w:tcW w:w="346" w:type="dxa"/>
            <w:tcBorders/>
            <w:shd w:fill="CCEC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(14)</w:t>
            </w:r>
            <w:r>
              <w:rPr>
                <w:rFonts w:ascii="Times New Roman;Times;serif" w:hAnsi="Times New Roman;Times;serif"/>
                <w:sz w:val="20"/>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15.45</w:t>
            </w:r>
          </w:p>
        </w:tc>
        <w:tc>
          <w:tcPr>
            <w:tcW w:w="326" w:type="dxa"/>
            <w:tcBorders/>
            <w:shd w:fill="CCECFF" w:val="clear"/>
            <w:vAlign w:val="center"/>
          </w:tcPr>
          <w:p>
            <w:pPr>
              <w:pStyle w:val="TableContents"/>
              <w:bidi w:val="0"/>
              <w:spacing w:before="0" w:after="1"/>
              <w:ind w:left="0" w:right="0" w:hanging="0"/>
              <w:jc w:val="left"/>
              <w:rPr/>
            </w:pPr>
            <w:r>
              <w:rPr/>
              <w:t> </w:t>
            </w:r>
          </w:p>
        </w:tc>
        <w:tc>
          <w:tcPr>
            <w:tcW w:w="1066" w:type="dxa"/>
            <w:tcBorders/>
            <w:shd w:fill="CCEC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2/13/2033</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15"/>
        <w:gridCol w:w="3421"/>
        <w:gridCol w:w="4569"/>
      </w:tblGrid>
      <w:tr>
        <w:trPr/>
        <w:tc>
          <w:tcPr>
            <w:tcW w:w="5636" w:type="dxa"/>
            <w:gridSpan w:val="2"/>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options were granted on May 25, 2021. All of the shares subject to the option have vested.</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option was granted on June 2, 2021. All of the shares subject to the option have vested.</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4569" w:type="dxa"/>
            <w:tcBorders/>
            <w:vAlign w:val="center"/>
          </w:tcPr>
          <w:p>
            <w:pPr>
              <w:pStyle w:val="TableContents"/>
              <w:bidi w:val="0"/>
              <w:spacing w:before="0" w:after="283"/>
              <w:ind w:left="0" w:right="0" w:hanging="0"/>
              <w:jc w:val="left"/>
              <w:rPr>
                <w:sz w:val="4"/>
                <w:szCs w:val="4"/>
              </w:rPr>
            </w:pPr>
            <w:r>
              <w:rPr>
                <w:sz w:val="4"/>
                <w:szCs w:val="4"/>
              </w:rPr>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7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option was granted on August 8, 2017. All of the shares subject to the option have vested.</w:t>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7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option was granted on May 15, 2018. All of the shares subject to the option have vested.</w:t>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7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option was granted on March 28, 2019. All of the shares subject to the option have vested.</w:t>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7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options were granted on June 10, 2020. All of the shares subject to the option have vested.</w:t>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7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options were granted on May 25, 2021. All of the shares subject to the option have vested.</w:t>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7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option was granted on June 2, 2021. All of the shares subject to the option have vested.</w:t>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7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options were granted on June 14, 2021. 25% of the shares were fully vested as of the grant date; 25% of the shares will vest based on a performance condition; of the remaining shares, 25% of such number remaining shall vest on the one year anniversary of the grant date, and the remainder shall vest in thirty-six successive equal monthly installments on the last day of each full month.</w:t>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7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option was granted on July 7, 2021. The shares vest in equal annual installments over 4 years from the date of grant.</w:t>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7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options was granted on May 23, 2022. 583 shares of this option vested on June 30, 2022 and the remainder shall vest in ten successive equal quarterly installments on the last day of each fiscal quarter beginning on September 30, 2022.</w:t>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7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options were granted on September 13, 2022 and shall vest in 12 successive equal quarterly installments on the last day of each fiscal quarter beginning on September 30, 2022.</w:t>
            </w:r>
          </w:p>
        </w:tc>
      </w:tr>
      <w:tr>
        <w:trPr/>
        <w:tc>
          <w:tcPr>
            <w:tcW w:w="2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7990" w:type="dxa"/>
            <w:gridSpan w:val="2"/>
            <w:tcBorders/>
            <w:vAlign w:val="center"/>
          </w:tcPr>
          <w:p>
            <w:pPr>
              <w:pStyle w:val="TableContents"/>
              <w:bidi w:val="0"/>
              <w:spacing w:before="0" w:after="0"/>
              <w:ind w:left="82" w:right="0" w:hanging="0"/>
              <w:jc w:val="left"/>
              <w:rPr>
                <w:rFonts w:ascii="Times New Roman;Times;serif" w:hAnsi="Times New Roman;Times;serif"/>
                <w:sz w:val="20"/>
              </w:rPr>
            </w:pPr>
            <w:r>
              <w:rPr>
                <w:rFonts w:ascii="Times New Roman;Times;serif" w:hAnsi="Times New Roman;Times;serif"/>
                <w:sz w:val="20"/>
              </w:rPr>
              <w:t>This option was granted on May 23, 2022. 123 shares of this option vested on June 30, 2022 and the remainder shall vest in ten successive equal quarterly installments on the last day of each fiscal quarter beginning on September 30, 2022.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29"/>
        <w:gridCol w:w="9776"/>
      </w:tblGrid>
      <w:tr>
        <w:trPr/>
        <w:tc>
          <w:tcPr>
            <w:tcW w:w="4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9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option was granted on February 16, 2022 and shall vest in 12 successive equal quarterly installments on the last day of each fiscal quarter beginning on March 31, 2022.</w:t>
            </w:r>
          </w:p>
        </w:tc>
      </w:tr>
      <w:tr>
        <w:trPr/>
        <w:tc>
          <w:tcPr>
            <w:tcW w:w="4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9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option was granted on September 13, 2022 and shall vest in 12 successive equal quarterly installments on the last day of each fiscal quarter beginning on September 30, 2022.</w:t>
            </w:r>
          </w:p>
        </w:tc>
      </w:tr>
      <w:tr>
        <w:trPr/>
        <w:tc>
          <w:tcPr>
            <w:tcW w:w="4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9776" w:type="dxa"/>
            <w:tcBorders/>
            <w:vAlign w:val="center"/>
          </w:tcPr>
          <w:p>
            <w:pPr>
              <w:pStyle w:val="TableContents"/>
              <w:bidi w:val="0"/>
              <w:spacing w:before="0" w:after="0"/>
              <w:ind w:left="82" w:right="0" w:hanging="0"/>
              <w:jc w:val="left"/>
              <w:rPr>
                <w:rFonts w:ascii="Times New Roman;Times;serif" w:hAnsi="Times New Roman;Times;serif"/>
                <w:sz w:val="20"/>
              </w:rPr>
            </w:pPr>
            <w:r>
              <w:rPr>
                <w:rFonts w:ascii="Times New Roman;Times;serif" w:hAnsi="Times New Roman;Times;serif"/>
                <w:sz w:val="20"/>
              </w:rPr>
              <w:t>This option was granted on February 14, 2023 and shall vest in 12 successive equal quarterly installments on the last day of each fiscal quarter beginning on March 31, 2023.</w:t>
            </w:r>
          </w:p>
        </w:tc>
      </w:tr>
    </w:tbl>
    <w:p>
      <w:pPr>
        <w:pStyle w:val="TextBody"/>
        <w:bidi w:val="0"/>
        <w:spacing w:before="0" w:after="0"/>
        <w:ind w:left="0" w:right="0" w:hanging="0"/>
        <w:jc w:val="left"/>
        <w:rPr/>
      </w:pPr>
      <w:r>
        <w:rPr/>
        <w:t>​</w:t>
      </w:r>
    </w:p>
    <w:p>
      <w:pPr>
        <w:pStyle w:val="TextBody"/>
        <w:bidi w:val="0"/>
        <w:spacing w:before="120" w:after="240"/>
        <w:ind w:left="0" w:right="0" w:hanging="0"/>
        <w:jc w:val="left"/>
        <w:rPr/>
      </w:pPr>
      <w:bookmarkStart w:id="105" w:name="ny20002715x2_def14a_107-executive_pg13"/>
      <w:bookmarkEnd w:id="105"/>
      <w:r>
        <w:rPr/>
        <w:t xml:space="preserve">  </w:t>
      </w:r>
      <w:r>
        <w:rPr>
          <w:rFonts w:ascii="Times New Roman;Times;serif" w:hAnsi="Times New Roman;Times;serif"/>
          <w:b/>
          <w:sz w:val="20"/>
        </w:rPr>
        <w:t>Chief Executive Officer Pay Ratio</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“smaller reporting company”, we are not required to provide information relating to the ratio of total compensation of our Chief Executive Officer to the median of the annual total compensation of all of our employees, as required by the Investor Protection and Securities Reform Act of 2010, which is part of the Dodd-Frank Wall Street Reform and Consumer Protection Act.</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Non-Employee Director Compensation</w:t>
      </w:r>
    </w:p>
    <w:p>
      <w:pPr>
        <w:pStyle w:val="TextBody"/>
        <w:bidi w:val="0"/>
        <w:spacing w:before="0" w:after="0"/>
        <w:ind w:left="0" w:right="0" w:hanging="0"/>
        <w:jc w:val="both"/>
        <w:rPr/>
      </w:pPr>
      <w:r>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a non-employee director compensation policy, effective as of April 1, 2021, pursuant to which all of our non-employee directors receive an annual cash retainer of $35,000 for Board service except for the Chairman of the Board who receives an annual cash retainer of $68,000. In addition, directors receive an additional cash retainer for serving as a committee chair or member as follows:</w:t>
      </w:r>
    </w:p>
    <w:tbl>
      <w:tblPr>
        <w:tblW w:w="7957" w:type="dxa"/>
        <w:jc w:val="left"/>
        <w:tblInd w:w="0" w:type="dxa"/>
        <w:tblLayout w:type="fixed"/>
        <w:tblCellMar>
          <w:top w:w="0" w:type="dxa"/>
          <w:left w:w="0" w:type="dxa"/>
          <w:bottom w:w="0" w:type="dxa"/>
          <w:right w:w="0" w:type="dxa"/>
        </w:tblCellMar>
      </w:tblPr>
      <w:tblGrid>
        <w:gridCol w:w="3526"/>
        <w:gridCol w:w="326"/>
        <w:gridCol w:w="214"/>
        <w:gridCol w:w="687"/>
        <w:gridCol w:w="326"/>
        <w:gridCol w:w="282"/>
        <w:gridCol w:w="904"/>
        <w:gridCol w:w="326"/>
        <w:gridCol w:w="324"/>
        <w:gridCol w:w="1042"/>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239010" cy="175260"/>
                      <wp:effectExtent l="0" t="0" r="0" b="0"/>
                      <wp:wrapNone/>
                      <wp:docPr id="85" name="Frame81"/>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6"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5890" cy="175260"/>
                      <wp:effectExtent l="0" t="0" r="0" b="0"/>
                      <wp:wrapNone/>
                      <wp:docPr id="87" name="Frame8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36245" cy="175260"/>
                      <wp:effectExtent l="0" t="0" r="0" b="0"/>
                      <wp:wrapNone/>
                      <wp:docPr id="88" name="Frame84"/>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9"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79070" cy="175260"/>
                      <wp:effectExtent l="0" t="0" r="0" b="0"/>
                      <wp:wrapNone/>
                      <wp:docPr id="90" name="Frame86"/>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74040" cy="175260"/>
                      <wp:effectExtent l="0" t="0" r="0" b="0"/>
                      <wp:wrapNone/>
                      <wp:docPr id="91" name="Frame87"/>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2"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5740" cy="175260"/>
                      <wp:effectExtent l="0" t="0" r="0" b="0"/>
                      <wp:wrapNone/>
                      <wp:docPr id="93" name="Frame89"/>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1670" cy="175260"/>
                      <wp:effectExtent l="0" t="0" r="0" b="0"/>
                      <wp:wrapNone/>
                      <wp:docPr id="94" name="Frame90"/>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4" w:type="dxa"/>
            <w:tcBorders/>
            <w:vAlign w:val="center"/>
          </w:tcPr>
          <w:p>
            <w:pPr>
              <w:pStyle w:val="TableContents"/>
              <w:bidi w:val="0"/>
              <w:spacing w:before="0" w:after="1"/>
              <w:ind w:left="0" w:right="0" w:hanging="0"/>
              <w:jc w:val="center"/>
              <w:rPr/>
            </w:pPr>
            <w:r>
              <w:rPr/>
              <w:t>​</w:t>
            </w:r>
          </w:p>
        </w:tc>
        <w:tc>
          <w:tcPr>
            <w:tcW w:w="68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82" w:type="dxa"/>
            <w:tcBorders/>
            <w:vAlign w:val="center"/>
          </w:tcPr>
          <w:p>
            <w:pPr>
              <w:pStyle w:val="TableContents"/>
              <w:bidi w:val="0"/>
              <w:spacing w:before="0" w:after="1"/>
              <w:ind w:left="0" w:right="0" w:hanging="0"/>
              <w:jc w:val="center"/>
              <w:rPr/>
            </w:pPr>
            <w:r>
              <w:rPr/>
              <w:t>​</w:t>
            </w:r>
          </w:p>
        </w:tc>
        <w:tc>
          <w:tcPr>
            <w:tcW w:w="9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Nominating and </w:t>
            </w:r>
          </w:p>
        </w:tc>
      </w:tr>
      <w:tr>
        <w:trPr/>
        <w:tc>
          <w:tcPr>
            <w:tcW w:w="3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 w:type="dxa"/>
            <w:tcBorders/>
            <w:vAlign w:val="center"/>
          </w:tcPr>
          <w:p>
            <w:pPr>
              <w:pStyle w:val="TableContents"/>
              <w:bidi w:val="0"/>
              <w:spacing w:before="0" w:after="1"/>
              <w:ind w:left="0" w:right="0" w:hanging="0"/>
              <w:jc w:val="center"/>
              <w:rPr/>
            </w:pPr>
            <w:r>
              <w:rPr/>
              <w:t>​</w:t>
            </w:r>
          </w:p>
        </w:tc>
        <w:tc>
          <w:tcPr>
            <w:tcW w:w="68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82" w:type="dxa"/>
            <w:tcBorders/>
            <w:vAlign w:val="center"/>
          </w:tcPr>
          <w:p>
            <w:pPr>
              <w:pStyle w:val="TableContents"/>
              <w:bidi w:val="0"/>
              <w:spacing w:before="0" w:after="1"/>
              <w:ind w:left="0" w:right="0" w:hanging="0"/>
              <w:jc w:val="center"/>
              <w:rPr/>
            </w:pPr>
            <w:r>
              <w:rPr/>
              <w:t>​</w:t>
            </w:r>
          </w:p>
        </w:tc>
        <w:tc>
          <w:tcPr>
            <w:tcW w:w="9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 </w:t>
            </w:r>
          </w:p>
        </w:tc>
      </w:tr>
      <w:tr>
        <w:trPr/>
        <w:tc>
          <w:tcPr>
            <w:tcW w:w="3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 </w:t>
            </w:r>
          </w:p>
        </w:tc>
        <w:tc>
          <w:tcPr>
            <w:tcW w:w="326" w:type="dxa"/>
            <w:tcBorders/>
            <w:vAlign w:val="center"/>
          </w:tcPr>
          <w:p>
            <w:pPr>
              <w:pStyle w:val="TableContents"/>
              <w:bidi w:val="0"/>
              <w:spacing w:before="0" w:after="1"/>
              <w:ind w:left="0" w:right="0" w:hanging="0"/>
              <w:jc w:val="center"/>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 </w:t>
            </w:r>
          </w:p>
        </w:tc>
        <w:tc>
          <w:tcPr>
            <w:tcW w:w="326" w:type="dxa"/>
            <w:tcBorders/>
            <w:vAlign w:val="center"/>
          </w:tcPr>
          <w:p>
            <w:pPr>
              <w:pStyle w:val="TableContents"/>
              <w:bidi w:val="0"/>
              <w:spacing w:before="0" w:after="1"/>
              <w:ind w:left="0" w:right="0" w:hanging="0"/>
              <w:jc w:val="center"/>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Governance </w:t>
            </w:r>
          </w:p>
        </w:tc>
      </w:tr>
      <w:tr>
        <w:trPr/>
        <w:tc>
          <w:tcPr>
            <w:tcW w:w="3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26" w:type="dxa"/>
            <w:tcBorders/>
            <w:vAlign w:val="center"/>
          </w:tcPr>
          <w:p>
            <w:pPr>
              <w:pStyle w:val="TableContents"/>
              <w:bidi w:val="0"/>
              <w:spacing w:before="0" w:after="1"/>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26" w:type="dxa"/>
            <w:tcBorders/>
            <w:vAlign w:val="center"/>
          </w:tcPr>
          <w:p>
            <w:pPr>
              <w:pStyle w:val="TableContents"/>
              <w:bidi w:val="0"/>
              <w:spacing w:before="0" w:after="1"/>
              <w:ind w:left="0" w:right="0" w:hanging="0"/>
              <w:jc w:val="center"/>
              <w:rPr/>
            </w:pPr>
            <w:r>
              <w:rPr/>
              <w:t>​</w:t>
            </w:r>
          </w:p>
        </w:tc>
        <w:tc>
          <w:tcPr>
            <w:tcW w:w="13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Committee</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Committee Chair</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Committee Member (other than the Chair)</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w:t>
            </w:r>
          </w:p>
        </w:tc>
        <w:tc>
          <w:tcPr>
            <w:tcW w:w="32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each director receives an annual equity retainer with a target value of approximately $50,000. The equity retainer is paid 70% in options to purchase shares of our Common Stock, which vest in increments of 1/12 per month and 30% in restricted stock units (RSUs), which vest in increments of 1/12 per month. We also reimburse non-employee directors for reasonable expenses incurred in connection with attending Board and committee meetings.</w:t>
      </w:r>
    </w:p>
    <w:p>
      <w:pPr>
        <w:pStyle w:val="TextBody"/>
        <w:bidi w:val="0"/>
        <w:spacing w:before="0" w:after="240"/>
        <w:ind w:left="0" w:right="0" w:hanging="0"/>
        <w:jc w:val="both"/>
        <w:rPr>
          <w:rFonts w:ascii="Times New Roman;Times;serif" w:hAnsi="Times New Roman;Times;serif"/>
          <w:sz w:val="20"/>
        </w:rPr>
      </w:pPr>
      <w:bookmarkStart w:id="106" w:name="ny20002715x2_def14a_106-info_pg6"/>
      <w:bookmarkEnd w:id="106"/>
      <w:r>
        <w:rPr>
          <w:rFonts w:ascii="Times New Roman;Times;serif" w:hAnsi="Times New Roman;Times;serif"/>
          <w:sz w:val="20"/>
        </w:rPr>
        <w:t xml:space="preserve">The following table shows certain information with respect to the compensation of all non-employee directors of the Company for the fiscal year ended December 31, 2023. </w:t>
      </w:r>
    </w:p>
    <w:tbl>
      <w:tblPr>
        <w:tblW w:w="6814" w:type="dxa"/>
        <w:jc w:val="left"/>
        <w:tblInd w:w="0" w:type="dxa"/>
        <w:tblLayout w:type="fixed"/>
        <w:tblCellMar>
          <w:top w:w="0" w:type="dxa"/>
          <w:left w:w="0" w:type="dxa"/>
          <w:bottom w:w="0" w:type="dxa"/>
          <w:right w:w="0" w:type="dxa"/>
        </w:tblCellMar>
      </w:tblPr>
      <w:tblGrid>
        <w:gridCol w:w="1666"/>
        <w:gridCol w:w="326"/>
        <w:gridCol w:w="1171"/>
        <w:gridCol w:w="326"/>
        <w:gridCol w:w="676"/>
        <w:gridCol w:w="326"/>
        <w:gridCol w:w="1111"/>
        <w:gridCol w:w="326"/>
        <w:gridCol w:w="88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057910" cy="175260"/>
                      <wp:effectExtent l="0" t="0" r="0" b="0"/>
                      <wp:wrapNone/>
                      <wp:docPr id="95" name="Frame9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6"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43585" cy="175260"/>
                      <wp:effectExtent l="0" t="0" r="0" b="0"/>
                      <wp:wrapNone/>
                      <wp:docPr id="97" name="Frame9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8"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29260" cy="175260"/>
                      <wp:effectExtent l="0" t="0" r="0" b="0"/>
                      <wp:wrapNone/>
                      <wp:docPr id="99"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0"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05485" cy="175260"/>
                      <wp:effectExtent l="0" t="0" r="0" b="0"/>
                      <wp:wrapNone/>
                      <wp:docPr id="101" name="Frame9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2"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62610" cy="175260"/>
                      <wp:effectExtent l="0" t="0" r="0" b="0"/>
                      <wp:wrapNone/>
                      <wp:docPr id="103" name="Frame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 earned or</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pPr>
            <w:r>
              <w:rPr/>
              <w:t>​</w: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in cash</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Awards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sz w:val="12"/>
              </w:rPr>
              <w:t>(5)</w:t>
            </w:r>
          </w:p>
        </w:tc>
        <w:tc>
          <w:tcPr>
            <w:tcW w:w="32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sz w:val="12"/>
              </w:rPr>
              <w:t>(5)</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6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Paul Buckman</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61,000</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29,911</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103,875</w:t>
            </w:r>
          </w:p>
        </w:tc>
      </w:tr>
      <w:tr>
        <w:trPr/>
        <w:tc>
          <w:tcPr>
            <w:tcW w:w="16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Sherrie Perkins</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47,500</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29,911</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12,964</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90,375</w:t>
            </w:r>
          </w:p>
        </w:tc>
      </w:tr>
      <w:tr>
        <w:trPr/>
        <w:tc>
          <w:tcPr>
            <w:tcW w:w="16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Edward M. Straw</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58,000</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29,911</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100,875</w:t>
            </w:r>
          </w:p>
        </w:tc>
      </w:tr>
      <w:tr>
        <w:trPr/>
        <w:tc>
          <w:tcPr>
            <w:tcW w:w="16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Blane Walter</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76,000</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29,911</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12,964</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118,875</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6"/>
        <w:gridCol w:w="9699"/>
        <w:gridCol w:w="170"/>
      </w:tblGrid>
      <w:tr>
        <w:trPr/>
        <w:tc>
          <w:tcPr>
            <w:tcW w:w="336" w:type="dxa"/>
            <w:tcBorders/>
            <w:vAlign w:val="center"/>
          </w:tcPr>
          <w:p>
            <w:pPr>
              <w:pStyle w:val="TableContents"/>
              <w:bidi w:val="0"/>
              <w:spacing w:before="0" w:after="283"/>
              <w:ind w:left="0" w:right="0" w:hanging="0"/>
              <w:jc w:val="left"/>
              <w:rPr>
                <w:sz w:val="4"/>
                <w:szCs w:val="4"/>
              </w:rPr>
            </w:pPr>
            <w:r>
              <w:rPr>
                <w:sz w:val="4"/>
                <w:szCs w:val="4"/>
              </w:rPr>
            </w:r>
          </w:p>
        </w:tc>
        <w:tc>
          <w:tcPr>
            <w:tcW w:w="9869"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986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Buckman held options to purchase a total of 6,180 shares of common stock and 557 unvested RSUs at December 31, 2023.</w:t>
            </w:r>
          </w:p>
        </w:tc>
      </w:tr>
      <w:tr>
        <w:trPr/>
        <w:tc>
          <w:tcPr>
            <w:tcW w:w="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986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Perkins held options to purchase a total of 6,190 shares of common stock and 557 unvested RSUs at December 31, 2023.</w:t>
            </w:r>
          </w:p>
        </w:tc>
      </w:tr>
      <w:tr>
        <w:trPr/>
        <w:tc>
          <w:tcPr>
            <w:tcW w:w="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986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Admiral (Retired) Straw held options to purchase a total of 6,274 shares of common stock and 557 unvested RSUs at December 31, 2023.</w:t>
            </w:r>
          </w:p>
        </w:tc>
      </w:tr>
      <w:tr>
        <w:trPr/>
        <w:tc>
          <w:tcPr>
            <w:tcW w:w="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9699" w:type="dxa"/>
            <w:tcBorders/>
            <w:vAlign w:val="center"/>
          </w:tcPr>
          <w:p>
            <w:pPr>
              <w:pStyle w:val="TableContents"/>
              <w:bidi w:val="0"/>
              <w:spacing w:before="0" w:after="0"/>
              <w:ind w:left="90" w:right="0" w:hanging="0"/>
              <w:jc w:val="left"/>
              <w:rPr>
                <w:rFonts w:ascii="Times New Roman;Times;serif" w:hAnsi="Times New Roman;Times;serif"/>
                <w:sz w:val="20"/>
              </w:rPr>
            </w:pPr>
            <w:r>
              <w:rPr>
                <w:rFonts w:ascii="Times New Roman;Times;serif" w:hAnsi="Times New Roman;Times;serif"/>
                <w:sz w:val="20"/>
              </w:rPr>
              <w:t>Mr. Walter held options to purchase a total of 6,273 shares of common stock and 557 unvested RSUs at December 31, 2023.</w:t>
            </w:r>
          </w:p>
        </w:tc>
        <w:tc>
          <w:tcPr>
            <w:tcW w:w="17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9901" w:type="dxa"/>
            <w:tcBorders/>
            <w:vAlign w:val="center"/>
          </w:tcPr>
          <w:p>
            <w:pPr>
              <w:pStyle w:val="TableContents"/>
              <w:bidi w:val="0"/>
              <w:spacing w:before="0" w:after="0"/>
              <w:ind w:left="90" w:right="0" w:hanging="0"/>
              <w:jc w:val="left"/>
              <w:rPr>
                <w:rFonts w:ascii="Times New Roman;Times;serif" w:hAnsi="Times New Roman;Times;serif"/>
                <w:sz w:val="20"/>
              </w:rPr>
            </w:pPr>
            <w:r>
              <w:rPr>
                <w:rFonts w:ascii="Times New Roman;Times;serif" w:hAnsi="Times New Roman;Times;serif"/>
                <w:sz w:val="20"/>
              </w:rPr>
              <w:t>The amounts reflect the full grant date fair value for awards granted during the fiscal year ended December 31, 2023. The grant date fair value was computed in accordance with ASC Topic 718, Compensation-Stock Compensation. The assumptions we used in valuing options are described in Note 9 to our audited financial statements included in this Form 10-K.</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07" w:name="ITEM12SECURITYOWNERSHIPOFCERTAINBENEFICI"/>
      <w:bookmarkStart w:id="108" w:name="_15f24a8e_3593_4e1c_a3c3_36f2a97f5b46"/>
      <w:bookmarkStart w:id="109" w:name="ITEM12SECURITYOWNERSHIPOFCERTAINBENEFICI"/>
      <w:bookmarkStart w:id="110" w:name="_15f24a8e_3593_4e1c_a3c3_36f2a97f5b46"/>
      <w:bookmarkEnd w:id="109"/>
      <w:bookmarkEnd w:id="110"/>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12.</w:t>
            </w:r>
          </w:p>
        </w:tc>
        <w:tc>
          <w:tcPr>
            <w:tcW w:w="9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SECURITY OWNERSHIP OF CERTAIN BENEFICIAL OWNERS AND MANAGEMENT AND RELATED STOCKHOLDER MATTERS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sets forth certain information regarding the ownership of our Common Stock as of March 1, 2024 by: (i) each director; (ii) each of our named executive officers; (iii) all executive officers and directors of the Company as a group; and (iv) all those known by the Company to be beneficial owners of more than five percent of our Common Stock.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determined beneficial ownership in accordance with the rules of the SEC. These rules generally attribute beneficial ownership of securities to persons who possess sole or shared voting power or investment power with respect to those securities. In addition, these rules require that we include shares of Common Stock issuable pursuant to the vesting of warrants and the exercise of stock options that are either immediately exercisable or exercisable within 60 days of March 1, 2024, and restricted stock units that vest within 60 days of March 1, 2024. These shares are deemed to be outstanding and beneficially owned by the person holding those warrants or options for the purpose of computing the percentage ownership of that person, but they are not treated as outstanding for the purpose of computing the percentage ownership of any other person. This table is based on information supplied by officers, directors and principal stockholders and Schedule 13D, Schedule 13G and Section 16 filings, if any, with the SEC. Unless otherwise indicated, the persons or entities identified in this table have sole voting and investment power with respect to all shares shown as beneficially owned by them, subject to applicable community property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otherwise noted below, the address for persons listed in the table is c/o Helius Medical Technologies, Inc., 642 Newtown Yardley Road, Suite 100, Newtown, Pennsylvania 18940. As of March 1, 2024, we had 887,295 shares of Common Stock outstanding.</w:t>
      </w:r>
    </w:p>
    <w:tbl>
      <w:tblPr>
        <w:tblW w:w="8995" w:type="dxa"/>
        <w:jc w:val="left"/>
        <w:tblInd w:w="0" w:type="dxa"/>
        <w:tblLayout w:type="fixed"/>
        <w:tblCellMar>
          <w:top w:w="0" w:type="dxa"/>
          <w:left w:w="0" w:type="dxa"/>
          <w:bottom w:w="0" w:type="dxa"/>
          <w:right w:w="0" w:type="dxa"/>
        </w:tblCellMar>
      </w:tblPr>
      <w:tblGrid>
        <w:gridCol w:w="5611"/>
        <w:gridCol w:w="326"/>
        <w:gridCol w:w="1786"/>
        <w:gridCol w:w="326"/>
        <w:gridCol w:w="563"/>
        <w:gridCol w:w="383"/>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562985" cy="175260"/>
                      <wp:effectExtent l="0" t="0" r="0" b="0"/>
                      <wp:wrapNone/>
                      <wp:docPr id="104" name="Frame100"/>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5"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134110" cy="175260"/>
                      <wp:effectExtent l="0" t="0" r="0" b="0"/>
                      <wp:wrapNone/>
                      <wp:docPr id="106" name="Frame102"/>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7"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57505" cy="175260"/>
                      <wp:effectExtent l="0" t="0" r="0" b="0"/>
                      <wp:wrapNone/>
                      <wp:docPr id="108" name="Frame104"/>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43205" cy="175260"/>
                      <wp:effectExtent l="0" t="0" r="0" b="0"/>
                      <wp:wrapNone/>
                      <wp:docPr id="109" name="Frame105"/>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Beneficial Ownership</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center"/>
              <w:rPr/>
            </w:pPr>
            <w:r>
              <w:rPr/>
              <w:t>​</w:t>
            </w:r>
          </w:p>
        </w:tc>
        <w:tc>
          <w:tcPr>
            <w:tcW w:w="383" w:type="dxa"/>
            <w:tcBorders/>
            <w:vAlign w:val="center"/>
          </w:tcPr>
          <w:p>
            <w:pPr>
              <w:pStyle w:val="TableContents"/>
              <w:bidi w:val="0"/>
              <w:spacing w:before="0" w:after="1"/>
              <w:ind w:left="0" w:right="0" w:hanging="0"/>
              <w:jc w:val="center"/>
              <w:rPr/>
            </w:pPr>
            <w:r>
              <w:rPr/>
              <w:t> </w:t>
            </w:r>
          </w:p>
        </w:tc>
      </w:tr>
      <w:tr>
        <w:trPr/>
        <w:tc>
          <w:tcPr>
            <w:tcW w:w="56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center"/>
              <w:rPr/>
            </w:pPr>
            <w:r>
              <w:rPr/>
              <w:t>​</w:t>
            </w:r>
          </w:p>
        </w:tc>
        <w:tc>
          <w:tcPr>
            <w:tcW w:w="383" w:type="dxa"/>
            <w:tcBorders/>
            <w:vAlign w:val="center"/>
          </w:tcPr>
          <w:p>
            <w:pPr>
              <w:pStyle w:val="TableContents"/>
              <w:bidi w:val="0"/>
              <w:spacing w:before="0" w:after="1"/>
              <w:ind w:left="0" w:right="0" w:hanging="0"/>
              <w:jc w:val="center"/>
              <w:rPr/>
            </w:pPr>
            <w:r>
              <w:rPr/>
              <w:t> </w:t>
            </w:r>
          </w:p>
        </w:tc>
      </w:tr>
      <w:tr>
        <w:trPr/>
        <w:tc>
          <w:tcPr>
            <w:tcW w:w="5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of Common Stock </w:t>
            </w:r>
          </w:p>
        </w:tc>
        <w:tc>
          <w:tcPr>
            <w:tcW w:w="32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 </w:t>
            </w:r>
          </w:p>
        </w:tc>
      </w:tr>
      <w:tr>
        <w:trPr/>
        <w:tc>
          <w:tcPr>
            <w:tcW w:w="56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Beneficial Owner</w:t>
            </w:r>
          </w:p>
        </w:tc>
        <w:tc>
          <w:tcPr>
            <w:tcW w:w="326" w:type="dxa"/>
            <w:tcBorders/>
            <w:vAlign w:val="center"/>
          </w:tcPr>
          <w:p>
            <w:pPr>
              <w:pStyle w:val="TableContents"/>
              <w:bidi w:val="0"/>
              <w:spacing w:before="0" w:after="1"/>
              <w:ind w:left="0" w:right="0" w:hanging="0"/>
              <w:jc w:val="left"/>
              <w:rPr/>
            </w:pPr>
            <w:r>
              <w:rPr/>
              <w:t>​</w:t>
            </w:r>
          </w:p>
        </w:tc>
        <w:tc>
          <w:tcPr>
            <w:tcW w:w="17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326"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Columbus Capital Management, LLC</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70,116</w:t>
            </w:r>
          </w:p>
        </w:tc>
        <w:tc>
          <w:tcPr>
            <w:tcW w:w="326"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Hudson Bay Capital Management LP</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    </w:t>
            </w:r>
          </w:p>
        </w:tc>
        <w:tc>
          <w:tcPr>
            <w:tcW w:w="1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60,422</w:t>
            </w:r>
          </w:p>
        </w:tc>
        <w:tc>
          <w:tcPr>
            <w:tcW w:w="326"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Antonella Favit-Van Pelt</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1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12,939</w:t>
            </w:r>
          </w:p>
        </w:tc>
        <w:tc>
          <w:tcPr>
            <w:tcW w:w="326"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83"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Sherrie Perkins</w:t>
            </w:r>
            <w:r>
              <w:rPr>
                <w:rFonts w:ascii="Times New Roman;Times;serif" w:hAnsi="Times New Roman;Times;serif"/>
                <w:sz w:val="15"/>
              </w:rPr>
              <w:t>(5)</w:t>
            </w:r>
          </w:p>
        </w:tc>
        <w:tc>
          <w:tcPr>
            <w:tcW w:w="326" w:type="dxa"/>
            <w:tcBorders/>
            <w:vAlign w:val="center"/>
          </w:tcPr>
          <w:p>
            <w:pPr>
              <w:pStyle w:val="TableContents"/>
              <w:bidi w:val="0"/>
              <w:spacing w:before="0" w:after="1"/>
              <w:ind w:left="0" w:right="0" w:hanging="0"/>
              <w:jc w:val="left"/>
              <w:rPr/>
            </w:pPr>
            <w:r>
              <w:rPr/>
              <w:t> </w:t>
            </w:r>
          </w:p>
        </w:tc>
        <w:tc>
          <w:tcPr>
            <w:tcW w:w="1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7,991</w:t>
            </w:r>
          </w:p>
        </w:tc>
        <w:tc>
          <w:tcPr>
            <w:tcW w:w="326"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Edward M. Straw</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1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8,075</w:t>
            </w:r>
          </w:p>
        </w:tc>
        <w:tc>
          <w:tcPr>
            <w:tcW w:w="326"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Blane Walter</w:t>
            </w:r>
            <w:r>
              <w:rPr>
                <w:rFonts w:ascii="Times New Roman;Times;serif" w:hAnsi="Times New Roman;Times;serif"/>
                <w:sz w:val="15"/>
              </w:rPr>
              <w:t>(7)</w:t>
            </w:r>
          </w:p>
        </w:tc>
        <w:tc>
          <w:tcPr>
            <w:tcW w:w="326" w:type="dxa"/>
            <w:tcBorders/>
            <w:vAlign w:val="center"/>
          </w:tcPr>
          <w:p>
            <w:pPr>
              <w:pStyle w:val="TableContents"/>
              <w:bidi w:val="0"/>
              <w:spacing w:before="0" w:after="1"/>
              <w:ind w:left="0" w:right="0" w:hanging="0"/>
              <w:jc w:val="left"/>
              <w:rPr/>
            </w:pPr>
            <w:r>
              <w:rPr/>
              <w:t> </w:t>
            </w:r>
          </w:p>
        </w:tc>
        <w:tc>
          <w:tcPr>
            <w:tcW w:w="1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8,166</w:t>
            </w:r>
          </w:p>
        </w:tc>
        <w:tc>
          <w:tcPr>
            <w:tcW w:w="326"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Paul Buckman</w:t>
            </w:r>
            <w:r>
              <w:rPr>
                <w:rFonts w:ascii="Times New Roman;Times;serif" w:hAnsi="Times New Roman;Times;serif"/>
                <w:sz w:val="15"/>
              </w:rPr>
              <w:t>(8)</w:t>
            </w:r>
          </w:p>
        </w:tc>
        <w:tc>
          <w:tcPr>
            <w:tcW w:w="326" w:type="dxa"/>
            <w:tcBorders/>
            <w:shd w:fill="CCEEFF" w:val="clear"/>
            <w:vAlign w:val="center"/>
          </w:tcPr>
          <w:p>
            <w:pPr>
              <w:pStyle w:val="TableContents"/>
              <w:bidi w:val="0"/>
              <w:spacing w:before="0" w:after="1"/>
              <w:ind w:left="0" w:right="0" w:hanging="0"/>
              <w:jc w:val="left"/>
              <w:rPr/>
            </w:pPr>
            <w:r>
              <w:rPr/>
              <w:t> </w:t>
            </w:r>
          </w:p>
        </w:tc>
        <w:tc>
          <w:tcPr>
            <w:tcW w:w="1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7,977</w:t>
            </w:r>
          </w:p>
        </w:tc>
        <w:tc>
          <w:tcPr>
            <w:tcW w:w="326"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Jeffrey S. Mathiesen</w:t>
            </w:r>
            <w:r>
              <w:rPr>
                <w:rFonts w:ascii="Times New Roman;Times;serif" w:hAnsi="Times New Roman;Times;serif"/>
                <w:sz w:val="15"/>
              </w:rPr>
              <w:t>(9)</w:t>
            </w:r>
          </w:p>
        </w:tc>
        <w:tc>
          <w:tcPr>
            <w:tcW w:w="326" w:type="dxa"/>
            <w:tcBorders/>
            <w:vAlign w:val="center"/>
          </w:tcPr>
          <w:p>
            <w:pPr>
              <w:pStyle w:val="TableContents"/>
              <w:bidi w:val="0"/>
              <w:spacing w:before="0" w:after="1"/>
              <w:ind w:left="0" w:right="0" w:hanging="0"/>
              <w:jc w:val="left"/>
              <w:rPr/>
            </w:pPr>
            <w:r>
              <w:rPr/>
              <w:t> </w:t>
            </w:r>
          </w:p>
        </w:tc>
        <w:tc>
          <w:tcPr>
            <w:tcW w:w="1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25,307</w:t>
            </w:r>
          </w:p>
        </w:tc>
        <w:tc>
          <w:tcPr>
            <w:tcW w:w="326"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Dane C. Andreeff</w:t>
            </w:r>
            <w:r>
              <w:rPr>
                <w:rFonts w:ascii="Times New Roman;Times;serif" w:hAnsi="Times New Roman;Times;serif"/>
                <w:sz w:val="15"/>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1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87,115</w:t>
            </w:r>
          </w:p>
        </w:tc>
        <w:tc>
          <w:tcPr>
            <w:tcW w:w="326"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All current executive officers and directors as a group (7 persons)</w:t>
            </w:r>
            <w:r>
              <w:rPr>
                <w:rFonts w:ascii="Times New Roman;Times;serif" w:hAnsi="Times New Roman;Times;serif"/>
                <w:sz w:val="15"/>
              </w:rPr>
              <w:t>(11)</w:t>
            </w:r>
          </w:p>
        </w:tc>
        <w:tc>
          <w:tcPr>
            <w:tcW w:w="326" w:type="dxa"/>
            <w:tcBorders/>
            <w:vAlign w:val="center"/>
          </w:tcPr>
          <w:p>
            <w:pPr>
              <w:pStyle w:val="TableContents"/>
              <w:bidi w:val="0"/>
              <w:spacing w:before="0" w:after="1"/>
              <w:ind w:left="0" w:right="0" w:hanging="0"/>
              <w:jc w:val="left"/>
              <w:rPr/>
            </w:pPr>
            <w:r>
              <w:rPr/>
              <w:t> </w:t>
            </w:r>
          </w:p>
        </w:tc>
        <w:tc>
          <w:tcPr>
            <w:tcW w:w="1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157,570</w:t>
            </w:r>
          </w:p>
        </w:tc>
        <w:tc>
          <w:tcPr>
            <w:tcW w:w="326"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ind w:left="0" w:right="0" w:hanging="0"/>
              <w:jc w:val="left"/>
              <w:rPr>
                <w:sz w:val="4"/>
                <w:szCs w:val="4"/>
              </w:rPr>
            </w:pPr>
            <w:r>
              <w:rPr>
                <w:sz w:val="4"/>
                <w:szCs w:val="4"/>
              </w:rPr>
            </w:r>
          </w:p>
        </w:tc>
        <w:tc>
          <w:tcPr>
            <w:tcW w:w="9906"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Less than one percent</w:t>
            </w:r>
          </w:p>
        </w:tc>
      </w:tr>
      <w:tr>
        <w:trPr/>
        <w:tc>
          <w:tcPr>
            <w:tcW w:w="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9906" w:type="dxa"/>
            <w:tcBorders/>
            <w:vAlign w:val="center"/>
          </w:tcPr>
          <w:p>
            <w:pPr>
              <w:pStyle w:val="TableContents"/>
              <w:bidi w:val="0"/>
              <w:spacing w:before="0" w:after="0"/>
              <w:ind w:left="82" w:right="0" w:hanging="0"/>
              <w:jc w:val="left"/>
              <w:rPr>
                <w:rFonts w:ascii="Times New Roman;Times;serif" w:hAnsi="Times New Roman;Times;serif"/>
                <w:sz w:val="20"/>
              </w:rPr>
            </w:pPr>
            <w:r>
              <w:rPr>
                <w:rFonts w:ascii="Times New Roman;Times;serif" w:hAnsi="Times New Roman;Times;serif"/>
                <w:sz w:val="20"/>
              </w:rPr>
              <w:t>This table is based upon information supplied by officers, directors and principal stockholders.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887,295 shares of common stock outstanding on March 1,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97"/>
        <w:gridCol w:w="9808"/>
      </w:tblGrid>
      <w:tr>
        <w:trPr/>
        <w:tc>
          <w:tcPr>
            <w:tcW w:w="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9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Includes 50,000 shares of common stock, and 20,116 shares of common stock issuable upon the exercise of warrants. Columbus Capital Management, LLC, which serves as the general partner and investment manager to each of Columbus Capital QP Partners, L.P., Columbus Capital Partners, L.P., and Columbus Capital Offshore QP Fund, LTD. (collectively “the Funds”), and Mr. Matthew D. Ockner, as Managing Member of Columbus Capital Management, LLC, with the power to exercise investment and voting discretion, may be deemed to be the beneficial owner of all shares of common stock held by the Funds. The business address of Matthew D. Ockner is 1 Embarcadero Center, Suite 1130, San Francisco, CA 94111. The percentage in this table reflects that the reporting persons may not exercise the warrants to the extent such exercise would cause the reporting persons to beneficially own a number of shares of common stock that would exceed 9.99% of our then outstanding common stock following such exercise.</w:t>
            </w:r>
            <w:r>
              <w:rPr>
                <w:rFonts w:ascii="Times New Roman;Times;serif" w:hAnsi="Times New Roman;Times;serif"/>
                <w:sz w:val="20"/>
              </w:rPr>
              <w:t xml:space="preserve"> </w:t>
            </w:r>
          </w:p>
        </w:tc>
      </w:tr>
      <w:tr>
        <w:trPr/>
        <w:tc>
          <w:tcPr>
            <w:tcW w:w="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9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60,422 shares of common stock issuable upon the exercise of warrants. Hudson Bay Capital Management LP (“Hudson Bay”), which serves as the investment manager to Hudson Master Fund Ltd. (the “Fund”) with the power to exercise investment and voting discretion, may be deemed to be the beneficial owner of all shares of Common stock held by the Fund. The business address of Hudson Bay Capital Management LP is 28 Havemeyer Place, 2nd Floor, Greenwich, Connecticut 06830. The percentage in this table reflects that the reporting persons may not exercise the warrants to the extent such exercise would cause the reporting persons to beneficially own a number of shares of common stock that would exceed 9.99% of our then outstanding common stock following such exercise.</w:t>
            </w:r>
          </w:p>
        </w:tc>
      </w:tr>
      <w:tr>
        <w:trPr/>
        <w:tc>
          <w:tcPr>
            <w:tcW w:w="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9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12,939 shares of common stock issuable upon the exercise of stock options.</w:t>
            </w:r>
          </w:p>
        </w:tc>
      </w:tr>
      <w:tr>
        <w:trPr/>
        <w:tc>
          <w:tcPr>
            <w:tcW w:w="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98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1,520 shares of common stock, 6,190 shares of common stock issuable upon the exercise of stock options, and 281 shares of common stock issuable upon the vesting of restricted stock units.</w:t>
            </w:r>
          </w:p>
        </w:tc>
      </w:tr>
      <w:tr>
        <w:trPr/>
        <w:tc>
          <w:tcPr>
            <w:tcW w:w="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98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1,520 shares of common stock, 6,274 shares of common stock issuable upon the exercise of stock options, and 281 shares of commons issuable upon the vesting of restricted stock units.</w:t>
            </w:r>
          </w:p>
        </w:tc>
      </w:tr>
      <w:tr>
        <w:trPr/>
        <w:tc>
          <w:tcPr>
            <w:tcW w:w="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98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1,612 shares of Common Stock, 6,273 shares of common stock issuable upon the exercise of stock options, and 281 shares of common stock issuable upon the vesting of restricted stock units.</w:t>
            </w:r>
          </w:p>
        </w:tc>
      </w:tr>
      <w:tr>
        <w:trPr/>
        <w:tc>
          <w:tcPr>
            <w:tcW w:w="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98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1,516 shares of common stock, 6,180 shares of common stock issuable upon the exercise of stock options, and 281 shares of common stock issuable upon the vesting of restricted stock units.</w:t>
            </w:r>
          </w:p>
        </w:tc>
      </w:tr>
      <w:tr>
        <w:trPr/>
        <w:tc>
          <w:tcPr>
            <w:tcW w:w="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98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238 shares of common stock and 25,069 shares of common stock issuable upon the exercise of stock options.</w:t>
            </w:r>
          </w:p>
        </w:tc>
      </w:tr>
      <w:tr>
        <w:trPr/>
        <w:tc>
          <w:tcPr>
            <w:tcW w:w="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98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16,511 shares of common stock and 246  shares of common stock issuable upon the exercise of warrants held by Maple Leaf Partners, L.P., 3,402 shares of common stock and 67 shares of common stock issuable upon the exercise of warrants held by Maple Leaf Partners I, L.P., 11,594 shares of common stock and 163 shares of common stock issuable upon the exercise of warrants held by Maple Leaf Discovery I, L.P., 1,882 shares of common stock and28 shares of common stock issuable upon the exercise of warrants held by Maple Leaf Offshore, Ltd., 29 shares on common stock held directly by Mr. Andreeff and 53,193 shares of common stock issuable upon the exercise of stock options held directly by Mr. Andreeff. Mr. Andreeff has sole voting and dispositive power over shares held by Maple Leaf Partners, L.P., Maple Leaf Partners I, L.P., Maple Leaf Discovery I, L.P. and Maple Leaf Offshore, Ltd.</w:t>
            </w:r>
          </w:p>
        </w:tc>
      </w:tr>
      <w:tr>
        <w:trPr/>
        <w:tc>
          <w:tcPr>
            <w:tcW w:w="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9808" w:type="dxa"/>
            <w:tcBorders/>
            <w:vAlign w:val="center"/>
          </w:tcPr>
          <w:p>
            <w:pPr>
              <w:pStyle w:val="TableContents"/>
              <w:bidi w:val="0"/>
              <w:spacing w:before="0" w:after="0"/>
              <w:ind w:left="82" w:right="0" w:hanging="0"/>
              <w:jc w:val="left"/>
              <w:rPr>
                <w:rFonts w:ascii="Times New Roman;Times;serif" w:hAnsi="Times New Roman;Times;serif"/>
                <w:sz w:val="20"/>
              </w:rPr>
            </w:pPr>
            <w:r>
              <w:rPr>
                <w:rFonts w:ascii="Times New Roman;Times;serif" w:hAnsi="Times New Roman;Times;serif"/>
                <w:sz w:val="20"/>
              </w:rPr>
              <w:t>Includes 39,824 shares of common stock, 504 shares of common stock issuable upon the exercise of warrants, 116,118 shares of common stock issuable upon the exercise of stock options, and 1,124 shares of common stock issuable upon the vesting of restricted stock units.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as of December 31, 2023 with respect to compensation plans under which shares of the Company’s Common Stock may be issued.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205"/>
        <w:gridCol w:w="326"/>
        <w:gridCol w:w="1081"/>
        <w:gridCol w:w="326"/>
        <w:gridCol w:w="342"/>
        <w:gridCol w:w="1099"/>
        <w:gridCol w:w="326"/>
        <w:gridCol w:w="109"/>
        <w:gridCol w:w="1199"/>
        <w:gridCol w:w="192"/>
      </w:tblGrid>
      <w:tr>
        <w:trPr/>
        <w:tc>
          <w:tcPr>
            <w:tcW w:w="5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305175" cy="175260"/>
                      <wp:effectExtent l="0" t="0" r="0" b="0"/>
                      <wp:wrapNone/>
                      <wp:docPr id="110" name="Frame106"/>
                      <a:graphic xmlns:a="http://schemas.openxmlformats.org/drawingml/2006/main">
                        <a:graphicData uri="http://schemas.microsoft.com/office/word/2010/wordprocessingShape">
                          <wps:wsp>
                            <wps:cNvSpPr txBox="1"/>
                            <wps:spPr>
                              <a:xfrm>
                                <a:off x="0" y="0"/>
                                <a:ext cx="3305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1"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86435" cy="175260"/>
                      <wp:effectExtent l="0" t="0" r="0" b="0"/>
                      <wp:wrapNone/>
                      <wp:docPr id="112" name="Frame10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3"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7170" cy="175260"/>
                      <wp:effectExtent l="0" t="0" r="0" b="0"/>
                      <wp:wrapNone/>
                      <wp:docPr id="114" name="Frame110"/>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7865" cy="175260"/>
                      <wp:effectExtent l="0" t="0" r="0" b="0"/>
                      <wp:wrapNone/>
                      <wp:docPr id="115" name="Frame111"/>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6"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7"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61365" cy="175260"/>
                      <wp:effectExtent l="0" t="0" r="0" b="0"/>
                      <wp:wrapNone/>
                      <wp:docPr id="118" name="Frame114"/>
                      <a:graphic xmlns:a="http://schemas.openxmlformats.org/drawingml/2006/main">
                        <a:graphicData uri="http://schemas.microsoft.com/office/word/2010/wordprocessingShape">
                          <wps:wsp>
                            <wps:cNvSpPr txBox="1"/>
                            <wps:spPr>
                              <a:xfrm>
                                <a:off x="0" y="0"/>
                                <a:ext cx="761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1920" cy="175260"/>
                      <wp:effectExtent l="0" t="0" r="0" b="0"/>
                      <wp:wrapNone/>
                      <wp:docPr id="119" name="Frame115"/>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future</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be issued</w:t>
            </w:r>
          </w:p>
        </w:tc>
        <w:tc>
          <w:tcPr>
            <w:tcW w:w="32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equity</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upon</w:t>
            </w:r>
          </w:p>
        </w:tc>
        <w:tc>
          <w:tcPr>
            <w:tcW w:w="32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2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of</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(excluding</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w:t>
            </w:r>
          </w:p>
        </w:tc>
        <w:tc>
          <w:tcPr>
            <w:tcW w:w="32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rights</w:t>
            </w:r>
          </w:p>
        </w:tc>
        <w:tc>
          <w:tcPr>
            <w:tcW w:w="32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rights</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99" w:type="dxa"/>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column(a))</w:t>
            </w:r>
            <w:r>
              <w:rPr>
                <w:rFonts w:ascii="Times New Roman;Times;serif" w:hAnsi="Times New Roman;Times;serif"/>
                <w:b/>
                <w:sz w:val="12"/>
              </w:rPr>
              <w:t>(1)(2)</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26" w:type="dxa"/>
            <w:tcBorders/>
            <w:vAlign w:val="center"/>
          </w:tcPr>
          <w:p>
            <w:pPr>
              <w:pStyle w:val="TableContents"/>
              <w:bidi w:val="0"/>
              <w:spacing w:before="0" w:after="1"/>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26" w:type="dxa"/>
            <w:tcBorders/>
            <w:vAlign w:val="center"/>
          </w:tcPr>
          <w:p>
            <w:pPr>
              <w:pStyle w:val="TableContents"/>
              <w:bidi w:val="0"/>
              <w:spacing w:before="0" w:after="1"/>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2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19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c>
          <w:tcPr>
            <w:tcW w:w="192" w:type="dxa"/>
            <w:tcBorders/>
            <w:vAlign w:val="center"/>
          </w:tcPr>
          <w:p>
            <w:pPr>
              <w:pStyle w:val="TableContents"/>
              <w:bidi w:val="0"/>
              <w:spacing w:before="0" w:after="1"/>
              <w:ind w:left="0" w:right="0" w:hanging="0"/>
              <w:jc w:val="center"/>
              <w:rPr/>
            </w:pPr>
            <w:r>
              <w:rPr/>
              <w:t> </w:t>
            </w:r>
          </w:p>
        </w:tc>
      </w:tr>
      <w:tr>
        <w:trPr/>
        <w:tc>
          <w:tcPr>
            <w:tcW w:w="52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holders(3)</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2,760</w:t>
            </w:r>
          </w:p>
        </w:tc>
        <w:tc>
          <w:tcPr>
            <w:tcW w:w="326" w:type="dxa"/>
            <w:tcBorders/>
            <w:shd w:fill="CCEEFF" w:val="clear"/>
            <w:vAlign w:val="center"/>
          </w:tcPr>
          <w:p>
            <w:pPr>
              <w:pStyle w:val="TableContents"/>
              <w:bidi w:val="0"/>
              <w:spacing w:before="0" w:after="1"/>
              <w:ind w:left="0" w:right="0" w:hanging="0"/>
              <w:jc w:val="left"/>
              <w:rPr/>
            </w:pPr>
            <w:r>
              <w:rPr/>
              <w:t> </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189.75</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9,240</w:t>
            </w:r>
          </w:p>
        </w:tc>
        <w:tc>
          <w:tcPr>
            <w:tcW w:w="192" w:type="dxa"/>
            <w:tcBorders/>
            <w:shd w:fill="CCEEFF" w:val="clear"/>
            <w:vAlign w:val="center"/>
          </w:tcPr>
          <w:p>
            <w:pPr>
              <w:pStyle w:val="TableContents"/>
              <w:bidi w:val="0"/>
              <w:spacing w:before="0" w:after="1"/>
              <w:ind w:left="0" w:right="0" w:hanging="0"/>
              <w:jc w:val="right"/>
              <w:rPr/>
            </w:pPr>
            <w:r>
              <w:rPr/>
              <w:t>​</w:t>
            </w:r>
          </w:p>
        </w:tc>
      </w:tr>
      <w:tr>
        <w:trPr/>
        <w:tc>
          <w:tcPr>
            <w:tcW w:w="52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 approved by security holders</w:t>
            </w:r>
          </w:p>
        </w:tc>
        <w:tc>
          <w:tcPr>
            <w:tcW w:w="326" w:type="dxa"/>
            <w:tcBorders/>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253,039</w:t>
            </w:r>
          </w:p>
        </w:tc>
        <w:tc>
          <w:tcPr>
            <w:tcW w:w="326" w:type="dxa"/>
            <w:tcBorders/>
            <w:vAlign w:val="center"/>
          </w:tcPr>
          <w:p>
            <w:pPr>
              <w:pStyle w:val="TableContents"/>
              <w:bidi w:val="0"/>
              <w:spacing w:before="0" w:after="1"/>
              <w:ind w:left="0" w:right="0" w:hanging="0"/>
              <w:jc w:val="left"/>
              <w:rPr/>
            </w:pPr>
            <w:r>
              <w:rPr/>
              <w:t> </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104.33</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14,121</w:t>
            </w:r>
          </w:p>
        </w:tc>
        <w:tc>
          <w:tcPr>
            <w:tcW w:w="192" w:type="dxa"/>
            <w:tcBorders/>
            <w:vAlign w:val="center"/>
          </w:tcPr>
          <w:p>
            <w:pPr>
              <w:pStyle w:val="TableContents"/>
              <w:bidi w:val="0"/>
              <w:spacing w:before="0" w:after="1"/>
              <w:ind w:left="0" w:right="0" w:hanging="0"/>
              <w:jc w:val="right"/>
              <w:rPr/>
            </w:pPr>
            <w:r>
              <w:rPr/>
              <w:t>​</w:t>
            </w:r>
          </w:p>
        </w:tc>
      </w:tr>
      <w:tr>
        <w:trPr/>
        <w:tc>
          <w:tcPr>
            <w:tcW w:w="52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255,799</w:t>
            </w:r>
          </w:p>
        </w:tc>
        <w:tc>
          <w:tcPr>
            <w:tcW w:w="326" w:type="dxa"/>
            <w:tcBorders/>
            <w:shd w:fill="CCEEFF" w:val="clear"/>
            <w:vAlign w:val="center"/>
          </w:tcPr>
          <w:p>
            <w:pPr>
              <w:pStyle w:val="TableContents"/>
              <w:bidi w:val="0"/>
              <w:spacing w:before="0" w:after="1"/>
              <w:ind w:left="0" w:right="0" w:hanging="0"/>
              <w:jc w:val="left"/>
              <w:rPr/>
            </w:pPr>
            <w:r>
              <w:rPr/>
              <w:t> </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105.26</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23,361</w:t>
            </w:r>
          </w:p>
        </w:tc>
        <w:tc>
          <w:tcPr>
            <w:tcW w:w="192"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ind w:left="0" w:right="0" w:hanging="0"/>
              <w:jc w:val="left"/>
              <w:rPr>
                <w:sz w:val="4"/>
                <w:szCs w:val="4"/>
              </w:rPr>
            </w:pPr>
            <w:r>
              <w:rPr>
                <w:sz w:val="4"/>
                <w:szCs w:val="4"/>
              </w:rPr>
            </w:r>
          </w:p>
        </w:tc>
        <w:tc>
          <w:tcPr>
            <w:tcW w:w="9903" w:type="dxa"/>
            <w:tcBorders/>
            <w:vAlign w:val="center"/>
          </w:tcPr>
          <w:p>
            <w:pPr>
              <w:pStyle w:val="TableContents"/>
              <w:bidi w:val="0"/>
              <w:spacing w:before="0" w:after="283"/>
              <w:ind w:left="0" w:right="0" w:hanging="0"/>
              <w:jc w:val="left"/>
              <w:rPr>
                <w:sz w:val="4"/>
                <w:szCs w:val="4"/>
              </w:rPr>
            </w:pPr>
            <w:r>
              <w:rPr>
                <w:sz w:val="4"/>
                <w:szCs w:val="4"/>
              </w:rPr>
            </w:r>
          </w:p>
        </w:tc>
      </w:tr>
      <w:tr>
        <w:trPr/>
        <w:tc>
          <w:tcPr>
            <w:tcW w:w="3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number of shares of common stock reserved for issuance under our 2022 Plan automatically increases on January 1st of each calendar year, starting on January 1, 2023 through January 1, 2028, to an amount equal to 20% of the total number of fully-diluted shares of our common stock as of December 31 of the preceding calendar year, or a lesser number of shares determined by our Board.</w:t>
            </w:r>
          </w:p>
        </w:tc>
      </w:tr>
      <w:tr>
        <w:trPr/>
        <w:tc>
          <w:tcPr>
            <w:tcW w:w="3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99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Consists of 14,121 shares remaining available for issuance under the 2022 Plan, 0 shares remaining available for issuance under the 2018 Plan, and 9,240 shares remaining available for issuance under the 2021 Inducement Plan</w:t>
            </w:r>
          </w:p>
        </w:tc>
      </w:tr>
      <w:tr>
        <w:trPr/>
        <w:tc>
          <w:tcPr>
            <w:tcW w:w="3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99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are no other securities available for future issuance under Plans of the Company as of December 31, 2023. </w:t>
            </w:r>
          </w:p>
        </w:tc>
      </w:tr>
      <w:tr>
        <w:trPr/>
        <w:tc>
          <w:tcPr>
            <w:tcW w:w="302" w:type="dxa"/>
            <w:tcBorders/>
            <w:vAlign w:val="center"/>
          </w:tcPr>
          <w:p>
            <w:pPr>
              <w:pStyle w:val="TableContents"/>
              <w:bidi w:val="0"/>
              <w:spacing w:before="0" w:after="0"/>
              <w:ind w:left="0" w:right="0" w:hanging="0"/>
              <w:jc w:val="both"/>
              <w:rPr/>
            </w:pPr>
            <w:r>
              <w:rPr/>
              <w:t>​</w:t>
            </w:r>
          </w:p>
        </w:tc>
        <w:tc>
          <w:tcPr>
            <w:tcW w:w="9903" w:type="dxa"/>
            <w:tcBorders/>
            <w:vAlign w:val="center"/>
          </w:tcPr>
          <w:p>
            <w:pPr>
              <w:pStyle w:val="TableContents"/>
              <w:bidi w:val="0"/>
              <w:spacing w:before="0" w:after="0"/>
              <w:ind w:left="0" w:right="0" w:hanging="0"/>
              <w:jc w:val="both"/>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1" w:name="ITEM13CERTAINRELATIONSHIPSANDRELATEDTRAN"/>
      <w:bookmarkStart w:id="112" w:name="_e8cfe217_07e4_49d0_a2fb_1b76b2e89b26"/>
      <w:bookmarkStart w:id="113" w:name="ITEM13CERTAINRELATIONSHIPSANDRELATEDTRAN"/>
      <w:bookmarkStart w:id="114" w:name="_e8cfe217_07e4_49d0_a2fb_1b76b2e89b26"/>
      <w:bookmarkEnd w:id="113"/>
      <w:bookmarkEnd w:id="114"/>
    </w:p>
    <w:tbl>
      <w:tblPr>
        <w:tblW w:w="9782" w:type="dxa"/>
        <w:jc w:val="left"/>
        <w:tblInd w:w="0" w:type="dxa"/>
        <w:tblLayout w:type="fixed"/>
        <w:tblCellMar>
          <w:top w:w="0" w:type="dxa"/>
          <w:left w:w="0" w:type="dxa"/>
          <w:bottom w:w="0" w:type="dxa"/>
          <w:right w:w="0" w:type="dxa"/>
        </w:tblCellMar>
      </w:tblPr>
      <w:tblGrid>
        <w:gridCol w:w="946"/>
        <w:gridCol w:w="8836"/>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13.</w:t>
            </w:r>
          </w:p>
        </w:tc>
        <w:tc>
          <w:tcPr>
            <w:tcW w:w="88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RELATIONSHIPS AND RELATED TRANSACTIONS, AND DIRECTOR INDEPENDENCE</w:t>
            </w:r>
          </w:p>
        </w:tc>
      </w:tr>
    </w:tbl>
    <w:p>
      <w:pPr>
        <w:pStyle w:val="TextBody"/>
        <w:pBdr/>
        <w:bidi w:val="0"/>
        <w:spacing w:before="0" w:after="240"/>
        <w:ind w:left="0" w:right="0" w:hanging="1224"/>
        <w:jc w:val="left"/>
        <w:rPr>
          <w:rFonts w:ascii="Times New Roman;Times;serif" w:hAnsi="Times New Roman;Times;serif"/>
          <w:b/>
          <w:sz w:val="20"/>
        </w:rPr>
      </w:pPr>
      <w:r>
        <w:rPr>
          <w:rFonts w:ascii="Times New Roman;Times;serif" w:hAnsi="Times New Roman;Times;serif"/>
          <w:b/>
          <w:sz w:val="20"/>
        </w:rPr>
        <w:t>Certain Relationships and Related Transactions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following includes a summary of transactions since January 1, 2023 to which the Company has been a participant in which the amount involved exceeded or will exceed the lesser of $120,000 or 1% of the average of the Company’s total assets at year end for the last two completed fiscal years, and in which any of our directors, executive officers or holders of more than five percent of our capital stock, or any members of their immediate family,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“Item 11 - 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Company provides indemnification for its directors and officers so that they will be free from undue concern about personal liability in connection with their service to the Company. Under the Company’s Second Amended and Restated Bylaws, the Company is required to indemnify its directors and officers to the extent not prohibited under Delaware or other applicable law. The Company has also entered into indemnity agreements with its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applicable law and the Company’s Second Amended and Restated Bylaws.</w:t>
      </w:r>
    </w:p>
    <w:p>
      <w:pPr>
        <w:pStyle w:val="TextBody"/>
        <w:pBdr/>
        <w:bidi w:val="0"/>
        <w:spacing w:before="0" w:after="240"/>
        <w:ind w:left="0" w:right="0" w:hanging="1224"/>
        <w:jc w:val="left"/>
        <w:rPr>
          <w:rFonts w:ascii="Times New Roman;Times;serif" w:hAnsi="Times New Roman;Times;serif"/>
          <w:b/>
          <w:sz w:val="20"/>
        </w:rPr>
      </w:pPr>
      <w:r>
        <w:rPr>
          <w:rFonts w:ascii="Times New Roman;Times;serif" w:hAnsi="Times New Roman;Times;serif"/>
          <w:b/>
          <w:sz w:val="20"/>
        </w:rPr>
        <w:t>Policies and Procedures for Transactions with Related Parties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In January 2018, the Company adopted a written Related-Person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exceeds $120,000. Transactions involving compensation for services provided to the Company as an employee, director, consultant or similar capacity by a related person are not covered by this policy. A related person is any executive officer, director, nominee to become director, or more than 5% stockholders of the Company, including any of their immediate family members, and any entity owned or controlled by such persons.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Audit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related-person transaction, the Audit Committee consider, in light of known circumstances, whether the transaction is in, or is not inconsistent with, the best interests of the Company and its stockholders, as the Audit Committee determines in the good faith exercise of its discretion.</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Audit Committee and/or the independent directors of the Board review such proposed business transactions to ensure that the Company’s involvement in such transactions is on terms comparable to those that could be obtained in arm’s length dealings with an unrelated third party and is in the best interests of the Company and its stockholders.</w:t>
      </w:r>
    </w:p>
    <w:p>
      <w:pPr>
        <w:pStyle w:val="TextBody"/>
        <w:pBdr/>
        <w:bidi w:val="0"/>
        <w:spacing w:before="0" w:after="240"/>
        <w:ind w:left="0" w:right="0" w:hanging="1224"/>
        <w:jc w:val="left"/>
        <w:rPr>
          <w:rFonts w:ascii="Times New Roman;Times;serif" w:hAnsi="Times New Roman;Times;serif"/>
          <w:b/>
          <w:sz w:val="20"/>
        </w:rPr>
      </w:pPr>
      <w:r>
        <w:rPr>
          <w:rFonts w:ascii="Times New Roman;Times;serif" w:hAnsi="Times New Roman;Times;serif"/>
          <w:b/>
          <w:sz w:val="20"/>
        </w:rPr>
        <w:t xml:space="preserve">Director Independence </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Board reviews its composition annually, including the determination of the independence of our directors. Our Board consults with the Company’s counsel to ensure that the Board’s determinations are consistent with relevant securities and other laws and regulations regarding the definition of “independent” set forth in pertinent listing standards of Nasdaq, as in effect from time to time.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all of the Company’s director nominees, other than Messrs. Andreeff and Mathiesen, are independent, as defined under the Nasdaq listing standards. In making those independence determinations, the Board took into account certain relationships and transactions that occurred in the ordinary course of business between the Company and entities with which some of its directors are or have been affiliated. The Board considered all relationships and transactions that occurred during any 12-month period within the last three fiscal years. The Board determined that the relationships would not interfere with their exercise of independent judgment in carrying out their responsibilities as directors.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5" w:name="ITEM14PRINCIPALACCOUNTANTFEESANDSERVICES"/>
      <w:bookmarkStart w:id="116" w:name="_d0e7dc0d_a255_450e_b37f_df5df0f3ae6b"/>
      <w:bookmarkStart w:id="117" w:name="ITEM14PRINCIPALACCOUNTANTFEESANDSERVICES"/>
      <w:bookmarkStart w:id="118" w:name="_d0e7dc0d_a255_450e_b37f_df5df0f3ae6b"/>
      <w:bookmarkEnd w:id="117"/>
      <w:bookmarkEnd w:id="118"/>
    </w:p>
    <w:tbl>
      <w:tblPr>
        <w:tblW w:w="5522" w:type="dxa"/>
        <w:jc w:val="left"/>
        <w:tblInd w:w="0" w:type="dxa"/>
        <w:tblLayout w:type="fixed"/>
        <w:tblCellMar>
          <w:top w:w="0" w:type="dxa"/>
          <w:left w:w="0" w:type="dxa"/>
          <w:bottom w:w="0" w:type="dxa"/>
          <w:right w:w="0" w:type="dxa"/>
        </w:tblCellMar>
      </w:tblPr>
      <w:tblGrid>
        <w:gridCol w:w="946"/>
        <w:gridCol w:w="4576"/>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14.</w:t>
            </w:r>
          </w:p>
        </w:tc>
        <w:tc>
          <w:tcPr>
            <w:tcW w:w="45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FEES AND SERVICES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retained Baker Tilly US, LLP to audit the Company’s consolidated financial statements for the years ended December 31, 2023 and December 31, 2022. The following table represents aggregate fees billed to the Company for the fiscal years ended December 31, 2023 and December 31, 2022 (amounts in thousands). </w:t>
      </w:r>
    </w:p>
    <w:tbl>
      <w:tblPr>
        <w:tblW w:w="5380" w:type="dxa"/>
        <w:jc w:val="left"/>
        <w:tblInd w:w="0" w:type="dxa"/>
        <w:tblLayout w:type="fixed"/>
        <w:tblCellMar>
          <w:top w:w="0" w:type="dxa"/>
          <w:left w:w="0" w:type="dxa"/>
          <w:bottom w:w="0" w:type="dxa"/>
          <w:right w:w="0" w:type="dxa"/>
        </w:tblCellMar>
      </w:tblPr>
      <w:tblGrid>
        <w:gridCol w:w="1681"/>
        <w:gridCol w:w="326"/>
        <w:gridCol w:w="501"/>
        <w:gridCol w:w="1000"/>
        <w:gridCol w:w="326"/>
        <w:gridCol w:w="442"/>
        <w:gridCol w:w="1104"/>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067435" cy="175260"/>
                      <wp:effectExtent l="0" t="0" r="0" b="0"/>
                      <wp:wrapNone/>
                      <wp:docPr id="120" name="Frame116"/>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1"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18135" cy="175260"/>
                      <wp:effectExtent l="0" t="0" r="0" b="0"/>
                      <wp:wrapNone/>
                      <wp:docPr id="122" name="Frame118"/>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35000" cy="175260"/>
                      <wp:effectExtent l="0" t="0" r="0" b="0"/>
                      <wp:wrapNone/>
                      <wp:docPr id="123" name="Frame119"/>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4"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80670" cy="175260"/>
                      <wp:effectExtent l="0" t="0" r="0" b="0"/>
                      <wp:wrapNone/>
                      <wp:docPr id="125" name="Frame12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01040" cy="175260"/>
                      <wp:effectExtent l="0" t="0" r="0" b="0"/>
                      <wp:wrapNone/>
                      <wp:docPr id="126" name="Frame122"/>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c>
          <w:tcPr>
            <w:tcW w:w="32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r>
      <w:tr>
        <w:trPr/>
        <w:tc>
          <w:tcPr>
            <w:tcW w:w="1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6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1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Audit-Related Fees</w:t>
            </w:r>
          </w:p>
        </w:tc>
        <w:tc>
          <w:tcPr>
            <w:tcW w:w="32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pPr>
            <w:r>
              <w:rPr/>
              <w:t>—</w:t>
            </w:r>
          </w:p>
        </w:tc>
      </w:tr>
      <w:tr>
        <w:trPr/>
        <w:tc>
          <w:tcPr>
            <w:tcW w:w="16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32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pPr>
            <w:r>
              <w:rPr/>
              <w:t>—</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Fees</w:t>
            </w:r>
          </w:p>
        </w:tc>
        <w:tc>
          <w:tcPr>
            <w:tcW w:w="326"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470</w:t>
            </w:r>
          </w:p>
        </w:tc>
        <w:tc>
          <w:tcPr>
            <w:tcW w:w="326"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4"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274</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ind w:left="0" w:right="0" w:hanging="0"/>
              <w:jc w:val="left"/>
              <w:rPr>
                <w:sz w:val="4"/>
                <w:szCs w:val="4"/>
              </w:rPr>
            </w:pPr>
            <w:r>
              <w:rPr>
                <w:sz w:val="4"/>
                <w:szCs w:val="4"/>
              </w:rPr>
            </w:r>
          </w:p>
        </w:tc>
        <w:tc>
          <w:tcPr>
            <w:tcW w:w="9907" w:type="dxa"/>
            <w:tcBorders/>
            <w:vAlign w:val="center"/>
          </w:tcPr>
          <w:p>
            <w:pPr>
              <w:pStyle w:val="TableContents"/>
              <w:bidi w:val="0"/>
              <w:spacing w:before="0" w:after="283"/>
              <w:ind w:left="0" w:right="0" w:hanging="0"/>
              <w:jc w:val="left"/>
              <w:rPr>
                <w:sz w:val="4"/>
                <w:szCs w:val="4"/>
              </w:rPr>
            </w:pPr>
            <w:r>
              <w:rPr>
                <w:sz w:val="4"/>
                <w:szCs w:val="4"/>
              </w:rPr>
            </w:r>
          </w:p>
        </w:tc>
      </w:tr>
      <w:tr>
        <w:trPr/>
        <w:tc>
          <w:tcPr>
            <w:tcW w:w="2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Audit fees included amounts billed for professional services rendered in connection with the audit of our consolidated financial statements and review of our interim consolidated financial statements included in quarterly reports and services that are normally provided by our principal accountant in connection with statutory and regulatory filings as well as professional services rendered in connection with the Company’s public offerings, including reviewing registration statements and prospectuses and preparing comfort letters.</w:t>
            </w:r>
          </w:p>
        </w:tc>
      </w:tr>
      <w:tr>
        <w:trPr/>
        <w:tc>
          <w:tcPr>
            <w:tcW w:w="2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9907" w:type="dxa"/>
            <w:tcBorders/>
            <w:vAlign w:val="center"/>
          </w:tcPr>
          <w:p>
            <w:pPr>
              <w:pStyle w:val="TableContents"/>
              <w:bidi w:val="0"/>
              <w:spacing w:before="0" w:after="0"/>
              <w:ind w:left="82" w:right="0" w:hanging="0"/>
              <w:jc w:val="both"/>
              <w:rPr>
                <w:rFonts w:ascii="Times New Roman;Times;serif" w:hAnsi="Times New Roman;Times;serif"/>
                <w:sz w:val="20"/>
              </w:rPr>
            </w:pPr>
            <w:r>
              <w:rPr>
                <w:rFonts w:ascii="Times New Roman;Times;serif" w:hAnsi="Times New Roman;Times;serif"/>
                <w:sz w:val="20"/>
              </w:rPr>
              <w:t>Tax fees included amounts billed for professional services for tax compliance, tax advice and tax planning. These services included assistance regarding federal, state and tax compliance.</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fees described above were pre-approved by the Audit Committee.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Policy on Audit Committee Pre-Approval of Audit and Permissible Non-Audit Services of Independent Registered Public Accounting Firm</w:t>
      </w:r>
    </w:p>
    <w:p>
      <w:pPr>
        <w:pStyle w:val="TextBody"/>
        <w:bidi w:val="0"/>
        <w:spacing w:before="0" w:after="0"/>
        <w:ind w:left="0" w:right="0" w:hanging="0"/>
        <w:jc w:val="both"/>
        <w:rPr/>
      </w:pPr>
      <w:r>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Audit Committee has adopted policies and procedures for the pre-approval of audit services and permitted non-audit and tax services rendered by our independent registered public accounting firm. The policy generally provides pre-approval of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Audit Committee must pre-approve all services provided by the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has determined that the rendering of services other than audit services by Baker Tilly US, LLP is compatible with maintaining the principal accountant’s independence.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9" w:name="PARTIV_96471"/>
      <w:bookmarkStart w:id="120" w:name="_121f8911_b1d5_4f8a_99f9_07aa06b7df01"/>
      <w:bookmarkEnd w:id="119"/>
      <w:bookmarkEnd w:id="120"/>
      <w:r>
        <w:rPr>
          <w:rFonts w:ascii="Times New Roman;Times;serif" w:hAnsi="Times New Roman;Times;serif"/>
          <w:b/>
          <w:sz w:val="20"/>
        </w:rPr>
        <w:t>PART IV</w:t>
      </w:r>
    </w:p>
    <w:p>
      <w:pPr>
        <w:pStyle w:val="Normal"/>
        <w:bidi w:val="0"/>
        <w:spacing w:before="0" w:after="0"/>
        <w:jc w:val="left"/>
        <w:rPr>
          <w:sz w:val="4"/>
          <w:szCs w:val="4"/>
        </w:rPr>
      </w:pPr>
      <w:r>
        <w:rPr>
          <w:sz w:val="4"/>
          <w:szCs w:val="4"/>
        </w:rPr>
      </w:r>
      <w:bookmarkStart w:id="121" w:name="ITEM15EXHIBITSFINANCIALSTATEMENTSCHEDULE"/>
      <w:bookmarkStart w:id="122" w:name="ITEM15EXHIBITSFINANCIALSTATEMENTSCHEDULE"/>
      <w:bookmarkEnd w:id="122"/>
    </w:p>
    <w:tbl>
      <w:tblPr>
        <w:tblW w:w="6107" w:type="dxa"/>
        <w:jc w:val="left"/>
        <w:tblInd w:w="0" w:type="dxa"/>
        <w:tblLayout w:type="fixed"/>
        <w:tblCellMar>
          <w:top w:w="0" w:type="dxa"/>
          <w:left w:w="0" w:type="dxa"/>
          <w:bottom w:w="0" w:type="dxa"/>
          <w:right w:w="0" w:type="dxa"/>
        </w:tblCellMar>
      </w:tblPr>
      <w:tblGrid>
        <w:gridCol w:w="946"/>
        <w:gridCol w:w="5161"/>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15.</w:t>
            </w:r>
          </w:p>
        </w:tc>
        <w:tc>
          <w:tcPr>
            <w:tcW w:w="51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EXHIBITS AND FINANCIAL STATEMENT SCHEDULES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documents are filed as part of this Form 10-K:</w:t>
      </w:r>
    </w:p>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Statements—See the Index to Consolidated Financial Statements on Page F-1.</w:t>
            </w:r>
          </w:p>
        </w:tc>
      </w:tr>
    </w:tbl>
    <w:tbl>
      <w:tblPr>
        <w:tblW w:w="10205" w:type="dxa"/>
        <w:jc w:val="left"/>
        <w:tblInd w:w="0" w:type="dxa"/>
        <w:tblLayout w:type="fixed"/>
        <w:tblCellMar>
          <w:top w:w="28" w:type="dxa"/>
          <w:left w:w="28" w:type="dxa"/>
          <w:bottom w:w="28" w:type="dxa"/>
          <w:right w:w="28"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 Schedules—None. We have omitted financial statement schedules because they are not required or are not applicable, or the required information is shown in the consolidated financial statements or notes to the consolidated financial statements.</w:t>
            </w:r>
          </w:p>
        </w:tc>
      </w:tr>
    </w:tbl>
    <w:tbl>
      <w:tblPr>
        <w:tblW w:w="1326" w:type="dxa"/>
        <w:jc w:val="left"/>
        <w:tblInd w:w="0" w:type="dxa"/>
        <w:tblLayout w:type="fixed"/>
        <w:tblCellMar>
          <w:top w:w="28" w:type="dxa"/>
          <w:left w:w="28" w:type="dxa"/>
          <w:bottom w:w="28" w:type="dxa"/>
          <w:right w:w="28" w:type="dxa"/>
        </w:tblCellMar>
      </w:tblPr>
      <w:tblGrid>
        <w:gridCol w:w="124"/>
        <w:gridCol w:w="256"/>
        <w:gridCol w:w="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Exhibits.</w:t>
            </w:r>
            <w:r>
              <w:rPr>
                <w:caps w:val="false"/>
                <w:smallCaps w:val="false"/>
                <w:color w:val="FF0000"/>
              </w:rPr>
              <w:t xml:space="preserve"> </w:t>
            </w:r>
          </w:p>
        </w:tc>
      </w:tr>
    </w:tbl>
    <w:tbl>
      <w:tblPr>
        <w:tblW w:w="10205" w:type="dxa"/>
        <w:jc w:val="left"/>
        <w:tblInd w:w="0" w:type="dxa"/>
        <w:tblLayout w:type="fixed"/>
        <w:tblCellMar>
          <w:top w:w="0" w:type="dxa"/>
          <w:left w:w="0" w:type="dxa"/>
          <w:bottom w:w="0" w:type="dxa"/>
          <w:right w:w="0" w:type="dxa"/>
        </w:tblCellMar>
      </w:tblPr>
      <w:tblGrid>
        <w:gridCol w:w="706"/>
        <w:gridCol w:w="326"/>
        <w:gridCol w:w="917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24155" cy="175260"/>
                      <wp:effectExtent l="0" t="0" r="0" b="0"/>
                      <wp:wrapNone/>
                      <wp:docPr id="127" name="Frame12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0"/>
              <w:ind w:left="0" w:right="0" w:hanging="0"/>
              <w:jc w:val="left"/>
              <w:rPr/>
            </w:pPr>
            <w:r>
              <w:rPr/>
              <w:t>​</w:t>
            </w:r>
          </w:p>
        </w:tc>
        <w:tc>
          <w:tcPr>
            <w:tcW w:w="917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912110" cy="175260"/>
                      <wp:effectExtent l="0" t="0" r="0" b="0"/>
                      <wp:wrapNone/>
                      <wp:docPr id="128" name="Frame124"/>
                      <a:graphic xmlns:a="http://schemas.openxmlformats.org/drawingml/2006/main">
                        <a:graphicData uri="http://schemas.microsoft.com/office/word/2010/wordprocessingShape">
                          <wps:wsp>
                            <wps:cNvSpPr txBox="1"/>
                            <wps:spPr>
                              <a:xfrm>
                                <a:off x="0" y="0"/>
                                <a:ext cx="291211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vAlign w:val="center"/>
          </w:tcPr>
          <w:p>
            <w:pPr>
              <w:pStyle w:val="TableHeading"/>
              <w:bidi w:val="0"/>
              <w:spacing w:before="0" w:after="0"/>
              <w:ind w:left="0" w:right="0" w:hanging="0"/>
              <w:jc w:val="left"/>
              <w:rPr/>
            </w:pPr>
            <w:r>
              <w:rPr/>
              <w:t>    </w:t>
            </w:r>
          </w:p>
        </w:tc>
        <w:tc>
          <w:tcPr>
            <w:tcW w:w="9173"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r>
      <w:tr>
        <w:trPr/>
        <w:tc>
          <w:tcPr>
            <w:tcW w:w="7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17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Certificate of Conversion filed with the Delaware Secretary of State on July 18, 2018 (incorporated by reference to Exhibit 3.1 to the Form 10-Q filed August 9, 2018)</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Incorporation, as corrected (incorporated by reference to Exhibit 3.1 to the Form 8-K filed October 30, 2018)</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on December 31, 2020)</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Certificate of Amendment to Certificate of Incorporation, as corrected (incorporated by reference to Exhibit 3.1 to the Form 8-K filed on August 16, 2023)</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Second Amended and Restated Bylaws (incorporated by reference to Exhibit 3.3 to the Form 8-K filed March 15, 2024)</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Warrant (incorporated by reference to Exhibit 4.1 to the Form 8-K filed October 26, 2020)</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Warrant (incorporated by reference to Exhibit 4.1 to the Form S-1/A filed January 20, 2021)</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Warrant Agency Agreement (incorporated by reference to Exhibit 4.2 to the Form S-1/A filed January 20, 2021)</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Description of Registrant’s Securities (incorporated by reference to Exhibit 4.7 to the Form 10-K filed March 14, 2021)</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Warrant Agency Agreement dated as of February 1, 2021 by and between Helius Medical Technologies, Inc. and American Stock Transfer &amp; Trust Company, LLC (incorporated by reference to Exhibit 4.2 to the Form 8-K filed February 1, 2021)</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Form of Warrant to purchase shares of common stock (incorporated by reference to Exhibit 4.1 to the Form 8-K filed August 9, 2022)</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Warrant Agency Agreement dated as of August 9, 2022 by and between Helius Medical Technologies, Inc. and American Stock Transfer &amp; Trust Company, LLC (incorporated by reference to Exhibit 4.2 to the Form 8-K filed August 9, 2022)</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License Agreement between Advanced NeuroRehabilitation, LLC and Yuri Danilov, Mitchell Tyler, Kurt Kaczmarek and John Klus, dated June 29, 2011 (incorporated by reference to Exhibit 10.8 to the Amendment to Form S-1 filed with the SEC on September 23, 2014)</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Amended and Restated Patent Sub-License Agreement between Advanced NeuroRehabilitation, LLC and Helius Medical, Inc, having an effective date of January 22, 2013 (incorporated by reference to Exhibit 10.1 to the Form S-1 filed with the SEC on July 14, 2014)</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Second Amended and Restated Patent Sub-License Agreement between Advanced NeuroRehabilitation, LLC and Helius Medical, Inc, dated June 6, 2014, but having an effective date of January 22, 2013 (incorporated by reference to Exhibit 10.7 to the Form S-1 filed with the SEC on July 14, 2014)</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Design and Manufacturing Consultant Agreement between Helius Medical, Inc and Clinvue, LLC, dated January 30, 2013 (incorporated by reference to Exhibit 10.3 to the Form S-1 filed with the SEC on July 14, 2014)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75"/>
        <w:gridCol w:w="326"/>
        <w:gridCol w:w="9104"/>
      </w:tblGrid>
      <w:tr>
        <w:trPr/>
        <w:tc>
          <w:tcPr>
            <w:tcW w:w="77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45745" cy="175260"/>
                      <wp:effectExtent l="0" t="0" r="0" b="0"/>
                      <wp:wrapNone/>
                      <wp:docPr id="129" name="Frame125"/>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0"/>
              <w:ind w:left="0" w:right="0" w:hanging="0"/>
              <w:jc w:val="left"/>
              <w:rPr/>
            </w:pPr>
            <w:r>
              <w:rPr/>
              <w:t>​</w:t>
            </w:r>
          </w:p>
        </w:tc>
        <w:tc>
          <w:tcPr>
            <w:tcW w:w="910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890520" cy="175260"/>
                      <wp:effectExtent l="0" t="0" r="0" b="0"/>
                      <wp:wrapNone/>
                      <wp:docPr id="130" name="Frame126"/>
                      <a:graphic xmlns:a="http://schemas.openxmlformats.org/drawingml/2006/main">
                        <a:graphicData uri="http://schemas.microsoft.com/office/word/2010/wordprocessingShape">
                          <wps:wsp>
                            <wps:cNvSpPr txBox="1"/>
                            <wps:spPr>
                              <a:xfrm>
                                <a:off x="0" y="0"/>
                                <a:ext cx="289052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75"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vAlign w:val="center"/>
          </w:tcPr>
          <w:p>
            <w:pPr>
              <w:pStyle w:val="TableHeading"/>
              <w:bidi w:val="0"/>
              <w:spacing w:before="0" w:after="0"/>
              <w:ind w:left="0" w:right="0" w:hanging="0"/>
              <w:jc w:val="left"/>
              <w:rPr/>
            </w:pPr>
            <w:r>
              <w:rPr/>
              <w:t>    </w:t>
            </w:r>
          </w:p>
        </w:tc>
        <w:tc>
          <w:tcPr>
            <w:tcW w:w="9104"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r>
      <w:tr>
        <w:trPr/>
        <w:tc>
          <w:tcPr>
            <w:tcW w:w="775"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104"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Commercial Development-to-Supply Program between Helius Medical, Inc and Ximedica, dated October 25, 2013 (incorporated by reference to Exhibit 10.4 to the Form S-1 filed with the SEC on July 14, 2014)</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Asset Purchase Agreement between the Company and A&amp;B (HK) Company Limited, dated as of October 9, 2015 (incorporated by reference to Exhibit 2.1 to the Form 8-K filed with the SEC on October 16, 2015)</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10.6.1</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Amendment to Asset Purchase Agreement between the Company and A&amp;B (HK) Company Limited, dated as of October 30, 2017 (incorporated by reference to Exhibit 10.1 to the Form 8-K filed with the SEC on November 2, 2017)</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10.6.2</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Supplemental Agreement to Asset Purchase Agreement dated October 9, 2015, between Helius Medical, Inc. and A&amp;B (HK) Company Limited, dated as of August 15, 2018 (incorporated by reference to Exhibit 10.27 to the Form 10-K filed March 14, 2019)</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Amended and Restated June 2014 Equity Incentive Plan (incorporated by reference to Exhibit 4.3 to the Form 10-Q filed with the SEC on November 9, 2017)</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10.7.1†</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2014 Stock Incentive Plan Form of Option Grant Agreement (incorporated by reference to Exhibit 10.23.1 to the Transition Report on Form 10-K filed with the SEC on April 3, 2017)</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2016 Omnibus Incentive Plan (incorporated by reference to Exhibit 10.25 to the Transition Report on Form 10-K filed with the SEC on April 3, 2017)</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10.8.1†</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Amendment Number 1 to the 2016 Omnibus Incentive Plan (incorporated by reference to Exhibit 10.25.1 to the Transition Report on Form 10-K filed with the SEC on April 3, 2017)</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10.8.2†</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Amendment Number 2 to the 2016 Omnibus Incentive Plan (incorporated by reference to Exhibit 4.7 to the Registration Statement on Form S-8 filed with the SEC on May 18, 2017)</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10.8.3†</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2016 Omnibus Incentive Plan Form of U.S. Option Grant Agreement (incorporated by reference to Exhibit 4.8 to the Registration Statement on Form S-8 filed with the SEC on May 18, 2017)</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10.8.4†</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2016 Omnibus Incentive Plan Form of Canada Option Grant Agreement (incorporated by reference to Exhibit 4.9 to the Registration Statement on Form S-8 filed with the SEC on May 18, 2017)</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2018 Omnibus Incentive Plan, as amended (incorporated by reference to Exhibit 10.2 to the Form 10-Q filed November 8, 2018)</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10.9.1†</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2018 Omnibus Incentive Plan Form of Option Grant Agreement (incorporated by reference to Exhibit 10.3 to the Form 10-Q filed November 8, 2018)</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10.9.2†</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2018 Omnibus Incentive Plan Form of Restricted Stock Unit Grant Agreement (incorporated by reference to Exhibit 10.4 to the Form 10 Q filed November 8, 2018)</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10.9.3†</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2018 Omnibus Incentive Plan Form of Option Grant Agreement – 2020 Retention Grant (incorporated by reference to Exhibit 10.1 to the Form 8-K filed on October 7, 2020)</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10.9.4†</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2018 Omnibus Incentive Plan Form of Stock Grant Notice and Award Agreement (incorporated by reference to Exhibit 10.1 to the Form 8-K filed on April 7, 2021)</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10.9.5†</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Amendment to the Helius Medical Technologies, Inc. 2018 Omnibus Incentive Plan (incorporated by reference to Exhibit 10.1 to the Form 8-K filed on May 27, 2021)</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10.9.6†</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2018 Omnibus Incentive Plan Form of Option Grant Agreement – Initial Grants to Dane C. Andreeff and Jeffrey S. Mathiesen (incorporated by reference to Exhibit 10.3 to the Form 8-K filed on June 15, 2021)</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Form of Indemnification Agreement (incorporated by reference to Exhibit 10.24 to the Form 10-K filed March 10, 2021)</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Non-employee Director Compensation Policy (incorporated by reference to Exhibit 10.7 to the Form 10-Q filed on May 17, 2021)</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Employment Agreement between Helius Medical Technologies, Inc. and Dane C. Andreeff, dated June 14, 2021 (incorporated by reference to Exhibit 10.1 to the Form 8-K filed on June 15, 2021)</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Employment Agreement between Helius Medical Technologies, Inc. and Jeffrey S. Mathiesen, dated June 14, 2021 (incorporated by reference to Exhibit 10.2 to the Form 8-K filed on June 15, 2021)</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Helius Medical Technologies, Inc. 2021 Inducement Plan (incorporated by reference to Exhibit 4.6 to the Form S-8 filed July 7, 2021)</w:t>
              </w:r>
            </w:hyperlink>
          </w:p>
        </w:tc>
      </w:tr>
      <w:tr>
        <w:trPr/>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10.14.1†</w:t>
            </w:r>
          </w:p>
        </w:tc>
        <w:tc>
          <w:tcPr>
            <w:tcW w:w="32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Form of Stock Option Grant Notice, Option Agreement and Notice of Exercise under the Helius Medical Technologies, Inc. 2021 Inducement Plan (incorporated by reference to Exhibit 4.5 to the Form S-8 filed July 7, 2021)</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50"/>
        <w:gridCol w:w="326"/>
        <w:gridCol w:w="9029"/>
      </w:tblGrid>
      <w:tr>
        <w:trPr/>
        <w:tc>
          <w:tcPr>
            <w:tcW w:w="85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69875" cy="175260"/>
                      <wp:effectExtent l="0" t="0" r="0" b="0"/>
                      <wp:wrapNone/>
                      <wp:docPr id="131" name="Frame127"/>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0"/>
              <w:ind w:left="0" w:right="0" w:hanging="0"/>
              <w:jc w:val="left"/>
              <w:rPr/>
            </w:pPr>
            <w:r>
              <w:rPr/>
              <w:t>​</w:t>
            </w:r>
          </w:p>
        </w:tc>
        <w:tc>
          <w:tcPr>
            <w:tcW w:w="902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866390" cy="175260"/>
                      <wp:effectExtent l="0" t="0" r="0" b="0"/>
                      <wp:wrapNone/>
                      <wp:docPr id="132" name="Frame128"/>
                      <a:graphic xmlns:a="http://schemas.openxmlformats.org/drawingml/2006/main">
                        <a:graphicData uri="http://schemas.microsoft.com/office/word/2010/wordprocessingShape">
                          <wps:wsp>
                            <wps:cNvSpPr txBox="1"/>
                            <wps:spPr>
                              <a:xfrm>
                                <a:off x="0" y="0"/>
                                <a:ext cx="28663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50"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vAlign w:val="center"/>
          </w:tcPr>
          <w:p>
            <w:pPr>
              <w:pStyle w:val="TableHeading"/>
              <w:bidi w:val="0"/>
              <w:spacing w:before="0" w:after="0"/>
              <w:ind w:left="0" w:right="0" w:hanging="0"/>
              <w:jc w:val="left"/>
              <w:rPr/>
            </w:pPr>
            <w:r>
              <w:rPr/>
              <w:t>    </w:t>
            </w:r>
          </w:p>
        </w:tc>
        <w:tc>
          <w:tcPr>
            <w:tcW w:w="9029"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r>
      <w:tr>
        <w:trPr/>
        <w:tc>
          <w:tcPr>
            <w:tcW w:w="850"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029"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Purchase Agreement between Helius Medical Technologies, Inc. and Lincoln Park Capital Fund, LLC dated September 1, 2021 (incorporated by reference to Exhibit 10.1 to the Form 8-K filed on September 2, 2021)</w:t>
              </w:r>
            </w:hyperlink>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Employment Agreement between Helius Medical Technologies, Inc. and Antonella Favit-Van Pelt, dated July 7, 2021 (incorporated by reference to Exhibit 10.31 to the Form S-1 filed on September 3, 2021)</w:t>
              </w:r>
            </w:hyperlink>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Helius Medical Technologies, Inc. 2022 Equity Incentive Plan (incorporated by reference to Exhibit 10.1 to the Form 8-K filed on February 18, 2022)</w:t>
              </w:r>
            </w:hyperlink>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10.17.1†</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Helius Medical Technologies, Inc. 2022 Equity Incentive Plan Form of Stock Option Agreement (incorporated by reference to Exhibit 10.3 to the Form 8-K filed on February 18, 2022)</w:t>
              </w:r>
            </w:hyperlink>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10.17.2†</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Sales Agreement between Helius Medical Technologies, Inc. and Roth Capital Partners, LLC, dated June 23, 2023 (incorporated by reference to Exhibit 1.1 to the Form 8-K filed on June 23, 2023)</w:t>
              </w:r>
            </w:hyperlink>
          </w:p>
        </w:tc>
      </w:tr>
      <w:tr>
        <w:trPr/>
        <w:tc>
          <w:tcPr>
            <w:tcW w:w="8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both"/>
              <w:rPr/>
            </w:pPr>
            <w:r>
              <w:rPr/>
              <w:t>​</w:t>
            </w:r>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hsdt-20231231xex21d1.htm">
              <w:r>
                <w:rPr>
                  <w:rStyle w:val="InternetLink"/>
                  <w:rFonts w:ascii="Times New Roman;Times;serif" w:hAnsi="Times New Roman;Times;serif"/>
                  <w:b w:val="false"/>
                  <w:i w:val="false"/>
                  <w:caps w:val="false"/>
                  <w:smallCaps w:val="false"/>
                  <w:sz w:val="20"/>
                </w:rPr>
                <w:t>Subsidiaries of Helius Medical Technologies, Inc.</w:t>
              </w:r>
            </w:hyperlink>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hsdt-20231231xex23d1.htm">
              <w:r>
                <w:rPr>
                  <w:rStyle w:val="InternetLink"/>
                  <w:rFonts w:ascii="Times New Roman;Times;serif" w:hAnsi="Times New Roman;Times;serif"/>
                  <w:b w:val="false"/>
                  <w:i w:val="false"/>
                  <w:caps w:val="false"/>
                  <w:smallCaps w:val="false"/>
                  <w:sz w:val="20"/>
                </w:rPr>
                <w:t>Consent of Baker Tilly US, LLP</w:t>
              </w:r>
            </w:hyperlink>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hsdt-20231231xex31d1.htm">
              <w:r>
                <w:rPr>
                  <w:rStyle w:val="InternetLink"/>
                  <w:rFonts w:ascii="Times New Roman;Times;serif" w:hAnsi="Times New Roman;Times;serif"/>
                  <w:b w:val="false"/>
                  <w:i w:val="false"/>
                  <w:caps w:val="false"/>
                  <w:smallCaps w:val="false"/>
                  <w:sz w:val="20"/>
                </w:rPr>
                <w:t>Certification of Chief Executive Officer pursuant to Rule 13a-14(a) and Rule 15d-14(a) as adopted pursuant to Section 302 of the Sarbanes – Oxley Act of 2002</w:t>
              </w:r>
            </w:hyperlink>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hsdt-20231231xex31d2.htm">
              <w:r>
                <w:rPr>
                  <w:rStyle w:val="InternetLink"/>
                  <w:rFonts w:ascii="Times New Roman;Times;serif" w:hAnsi="Times New Roman;Times;serif"/>
                  <w:b w:val="false"/>
                  <w:i w:val="false"/>
                  <w:caps w:val="false"/>
                  <w:smallCaps w:val="false"/>
                  <w:sz w:val="20"/>
                </w:rPr>
                <w:t>Certification of Chief Financial Officer pursuant to Rule 13a-14(a) and Rule 15d-14(a) as adopted pursuant to Section 302 of the Sarbanes – Oxley Act of 2002</w:t>
              </w:r>
            </w:hyperlink>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hsdt-20231231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 – Oxley Act of 2002</w:t>
              </w:r>
            </w:hyperlink>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hsdt-20231231xex97d1.htm">
              <w:r>
                <w:rPr>
                  <w:rStyle w:val="InternetLink"/>
                  <w:rFonts w:ascii="Times New Roman;Times;serif" w:hAnsi="Times New Roman;Times;serif"/>
                  <w:b w:val="false"/>
                  <w:i w:val="false"/>
                  <w:caps w:val="false"/>
                  <w:smallCaps w:val="false"/>
                  <w:sz w:val="20"/>
                </w:rPr>
                <w:t>Clawback Policy</w:t>
              </w:r>
            </w:hyperlink>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4892" w:type="dxa"/>
        <w:jc w:val="left"/>
        <w:tblInd w:w="0" w:type="dxa"/>
        <w:tblLayout w:type="fixed"/>
        <w:tblCellMar>
          <w:top w:w="0" w:type="dxa"/>
          <w:left w:w="0" w:type="dxa"/>
          <w:bottom w:w="0" w:type="dxa"/>
          <w:right w:w="0" w:type="dxa"/>
        </w:tblCellMar>
      </w:tblPr>
      <w:tblGrid>
        <w:gridCol w:w="241"/>
        <w:gridCol w:w="4651"/>
      </w:tblGrid>
      <w:tr>
        <w:trPr/>
        <w:tc>
          <w:tcPr>
            <w:tcW w:w="241" w:type="dxa"/>
            <w:tcBorders/>
            <w:vAlign w:val="center"/>
          </w:tcPr>
          <w:p>
            <w:pPr>
              <w:pStyle w:val="TableContents"/>
              <w:bidi w:val="0"/>
              <w:spacing w:before="0" w:after="0"/>
              <w:jc w:val="left"/>
              <w:rPr/>
            </w:pPr>
            <w:r>
              <w:rPr/>
              <w:t>†</w:t>
            </w:r>
          </w:p>
        </w:tc>
        <w:tc>
          <w:tcPr>
            <w:tcW w:w="46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a management contract or compensatory plan.</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pPr>
            <w:r>
              <w:rPr/>
              <w:t>‡</w:t>
            </w:r>
          </w:p>
        </w:tc>
        <w:tc>
          <w:tcPr>
            <w:tcW w:w="99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Confidential information has been omitted and filed separately with the Securities and Exchange Commission. Confidential treatment has been granted with respect to this omitted information.</w:t>
            </w:r>
          </w:p>
        </w:tc>
      </w:tr>
    </w:tbl>
    <w:p>
      <w:pPr>
        <w:pStyle w:val="TextBody"/>
        <w:pBdr/>
        <w:bidi w:val="0"/>
        <w:spacing w:before="0" w:after="240"/>
        <w:ind w:left="0" w:right="0" w:hanging="360"/>
        <w:jc w:val="left"/>
        <w:rPr/>
      </w:pPr>
      <w:r>
        <w:rPr/>
        <w:t>​</w:t>
      </w:r>
    </w:p>
    <w:p>
      <w:pPr>
        <w:pStyle w:val="Normal"/>
        <w:bidi w:val="0"/>
        <w:spacing w:before="0" w:after="0"/>
        <w:jc w:val="left"/>
        <w:rPr>
          <w:sz w:val="4"/>
          <w:szCs w:val="4"/>
        </w:rPr>
      </w:pPr>
      <w:r>
        <w:rPr>
          <w:sz w:val="4"/>
          <w:szCs w:val="4"/>
        </w:rPr>
      </w:r>
      <w:bookmarkStart w:id="123" w:name="ITEM16FORM10KSUMMARY_758874"/>
      <w:bookmarkStart w:id="124" w:name="_2ba9f65f_42d3_4234_9127_3227b961dffc"/>
      <w:bookmarkStart w:id="125" w:name="ITEM16FORM10KSUMMARY_758874"/>
      <w:bookmarkStart w:id="126" w:name="_2ba9f65f_42d3_4234_9127_3227b961dffc"/>
      <w:bookmarkEnd w:id="125"/>
      <w:bookmarkEnd w:id="126"/>
    </w:p>
    <w:tbl>
      <w:tblPr>
        <w:tblW w:w="3197" w:type="dxa"/>
        <w:jc w:val="left"/>
        <w:tblInd w:w="0" w:type="dxa"/>
        <w:tblLayout w:type="fixed"/>
        <w:tblCellMar>
          <w:top w:w="0" w:type="dxa"/>
          <w:left w:w="0" w:type="dxa"/>
          <w:bottom w:w="0" w:type="dxa"/>
          <w:right w:w="0" w:type="dxa"/>
        </w:tblCellMar>
      </w:tblPr>
      <w:tblGrid>
        <w:gridCol w:w="946"/>
        <w:gridCol w:w="2251"/>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w:t>
            </w:r>
          </w:p>
        </w:tc>
        <w:tc>
          <w:tcPr>
            <w:tcW w:w="22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FORM 10-K SUMMARY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7" w:name="_10de1d01_4be6_4c39_b8dd_e0b504aef43c"/>
      <w:bookmarkEnd w:id="127"/>
      <w:r>
        <w:rPr>
          <w:rFonts w:ascii="Times New Roman;Times;serif" w:hAnsi="Times New Roman;Times;serif"/>
          <w:b/>
          <w:sz w:val="20"/>
        </w:rPr>
        <w:t xml:space="preserve">INDEX TO CONSOLIDATED FINANCIAL STATEMENTS </w:t>
      </w:r>
    </w:p>
    <w:tbl>
      <w:tblPr>
        <w:tblW w:w="10205" w:type="dxa"/>
        <w:jc w:val="left"/>
        <w:tblInd w:w="0" w:type="dxa"/>
        <w:tblLayout w:type="fixed"/>
        <w:tblCellMar>
          <w:top w:w="0" w:type="dxa"/>
          <w:left w:w="0" w:type="dxa"/>
          <w:bottom w:w="0" w:type="dxa"/>
          <w:right w:w="0" w:type="dxa"/>
        </w:tblCellMar>
      </w:tblPr>
      <w:tblGrid>
        <w:gridCol w:w="9803"/>
        <w:gridCol w:w="402"/>
      </w:tblGrid>
      <w:tr>
        <w:trPr/>
        <w:tc>
          <w:tcPr>
            <w:tcW w:w="9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224905" cy="175260"/>
                      <wp:effectExtent l="0" t="0" r="0" b="0"/>
                      <wp:wrapNone/>
                      <wp:docPr id="133" name="Frame129"/>
                      <a:graphic xmlns:a="http://schemas.openxmlformats.org/drawingml/2006/main">
                        <a:graphicData uri="http://schemas.microsoft.com/office/word/2010/wordprocessingShape">
                          <wps:wsp>
                            <wps:cNvSpPr txBox="1"/>
                            <wps:spPr>
                              <a:xfrm>
                                <a:off x="0" y="0"/>
                                <a:ext cx="6224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55270" cy="175260"/>
                      <wp:effectExtent l="0" t="0" r="0" b="0"/>
                      <wp:wrapNone/>
                      <wp:docPr id="134" name="Frame130"/>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03" w:type="dxa"/>
            <w:tcBorders/>
            <w:vAlign w:val="center"/>
          </w:tcPr>
          <w:p>
            <w:pPr>
              <w:pStyle w:val="TableContents"/>
              <w:pBdr/>
              <w:bidi w:val="0"/>
              <w:spacing w:before="0" w:after="0"/>
              <w:ind w:left="0" w:right="0" w:hanging="0"/>
              <w:jc w:val="left"/>
              <w:rPr/>
            </w:pPr>
            <w:hyperlink w:anchor="ReportofIndependentRegisteredPubllActFrm">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(BAKER TILLY US, LLP; MINNEAPOLIS, MN; PCAOB ID #23)</w:t>
            </w:r>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w:t>
            </w:r>
          </w:p>
        </w:tc>
      </w:tr>
      <w:tr>
        <w:trPr/>
        <w:tc>
          <w:tcPr>
            <w:tcW w:w="9803" w:type="dxa"/>
            <w:tcBorders/>
            <w:vAlign w:val="center"/>
          </w:tcPr>
          <w:p>
            <w:pPr>
              <w:pStyle w:val="TableContents"/>
              <w:pBdr/>
              <w:bidi w:val="0"/>
              <w:spacing w:before="0" w:after="0"/>
              <w:ind w:left="0" w:right="0" w:hanging="0"/>
              <w:jc w:val="left"/>
              <w:rPr/>
            </w:pPr>
            <w:hyperlink w:anchor="ConsolidatedBalanceSheets_637831">
              <w:r>
                <w:rPr>
                  <w:rStyle w:val="InternetLink"/>
                  <w:rFonts w:ascii="Times New Roman;Times;serif" w:hAnsi="Times New Roman;Times;serif"/>
                  <w:b w:val="false"/>
                  <w:i w:val="false"/>
                  <w:caps w:val="false"/>
                  <w:smallCaps w:val="false"/>
                  <w:sz w:val="20"/>
                </w:rPr>
                <w:t>CONSOLIDATED BALANCE SHEETS</w:t>
              </w:r>
            </w:hyperlink>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803" w:type="dxa"/>
            <w:tcBorders/>
            <w:vAlign w:val="center"/>
          </w:tcPr>
          <w:p>
            <w:pPr>
              <w:pStyle w:val="TableContents"/>
              <w:pBdr/>
              <w:bidi w:val="0"/>
              <w:spacing w:before="0" w:after="0"/>
              <w:ind w:left="0" w:right="0" w:hanging="0"/>
              <w:jc w:val="left"/>
              <w:rPr/>
            </w:pPr>
            <w:hyperlink w:anchor="ConsolidatedStatementsofOperationsandCom">
              <w:r>
                <w:rPr>
                  <w:rStyle w:val="InternetLink"/>
                  <w:rFonts w:ascii="Times New Roman;Times;serif" w:hAnsi="Times New Roman;Times;serif"/>
                  <w:b w:val="false"/>
                  <w:i w:val="false"/>
                  <w:caps w:val="false"/>
                  <w:smallCaps w:val="false"/>
                  <w:sz w:val="20"/>
                </w:rPr>
                <w:t>CONSOLIDATED STATEMENTS OF OPERATIONS AND COMPREHENSIVE LOSS</w:t>
              </w:r>
            </w:hyperlink>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803" w:type="dxa"/>
            <w:tcBorders/>
            <w:vAlign w:val="center"/>
          </w:tcPr>
          <w:p>
            <w:pPr>
              <w:pStyle w:val="TableContents"/>
              <w:pBdr/>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w:t>
              </w:r>
            </w:hyperlink>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803" w:type="dxa"/>
            <w:tcBorders/>
            <w:vAlign w:val="center"/>
          </w:tcPr>
          <w:p>
            <w:pPr>
              <w:pStyle w:val="TableContents"/>
              <w:pBdr/>
              <w:bidi w:val="0"/>
              <w:spacing w:before="0" w:after="0"/>
              <w:ind w:left="0" w:right="0" w:hanging="0"/>
              <w:jc w:val="left"/>
              <w:rPr/>
            </w:pPr>
            <w:hyperlink w:anchor="ConsolidatedStatementsofCashFlows_512514">
              <w:r>
                <w:rPr>
                  <w:rStyle w:val="InternetLink"/>
                  <w:rFonts w:ascii="Times New Roman;Times;serif" w:hAnsi="Times New Roman;Times;serif"/>
                  <w:b w:val="false"/>
                  <w:i w:val="false"/>
                  <w:caps w:val="false"/>
                  <w:smallCaps w:val="false"/>
                  <w:sz w:val="20"/>
                </w:rPr>
                <w:t>CONSOLIDATED STATEMENTS OF CASH FLOWS</w:t>
              </w:r>
            </w:hyperlink>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803" w:type="dxa"/>
            <w:tcBorders/>
            <w:vAlign w:val="center"/>
          </w:tcPr>
          <w:p>
            <w:pPr>
              <w:pStyle w:val="TableContents"/>
              <w:pBdr/>
              <w:bidi w:val="0"/>
              <w:spacing w:before="0" w:after="0"/>
              <w:ind w:left="0" w:right="0" w:hanging="0"/>
              <w:jc w:val="left"/>
              <w:rPr/>
            </w:pPr>
            <w:hyperlink w:anchor="NotestotheConsolidatedFinancialStatement">
              <w:r>
                <w:rPr>
                  <w:rStyle w:val="InternetLink"/>
                  <w:rFonts w:ascii="Times New Roman;Times;serif" w:hAnsi="Times New Roman;Times;serif"/>
                  <w:b w:val="false"/>
                  <w:i w:val="false"/>
                  <w:caps w:val="false"/>
                  <w:smallCaps w:val="false"/>
                  <w:sz w:val="20"/>
                </w:rPr>
                <w:t>NOTES TO THE CONSOLIDATED FINANCIAL STATEMENTS</w:t>
              </w:r>
            </w:hyperlink>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8" w:name="ReportofIndependentRegisteredPubllActFrm"/>
      <w:bookmarkStart w:id="129" w:name="_93d47574_d221_4c9f_846d_e0a2433382fa"/>
      <w:bookmarkEnd w:id="128"/>
      <w:bookmarkEnd w:id="129"/>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 Helius Medical Technologies, Inc.: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 of Helius Medical Technologies, Inc. (the "Company") as of December 31, 2023 and 2022, the related consolidated statements of operations and comprehensive loss, stockholders' equity, and cash flows for the years ended December 31, 2023 and 2022,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ended December 31, 2023 and 2022,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Going Concern Uncertainty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consolidated financial statements have been prepared assuming the Company will continue as a going concern. As discussed in Note 1 of the consolidated financial statements, the Company has recurring losses from operations, an accumulated deficit, expects to incur losses for the foreseeable future and requires additional working capital. These are the reasons that raise substantial doubt about their ability to continue as a going concern. Management’s plans in regard to these matters are also described in Note 1. The consolidated financial statements do not contain any adjustments that might result from the outcome of this uncertainty.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 Description</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Valuation of warrants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described in Note 8 to the consolidated financial statements, the Company completed an equity offering during the prior year which included the issuance of warrants. Management concluded the warrants met the criteria for the classification as liabilities. Given the liability treatment, the Company is required to determine the fair value of the warrants at each reporting period.</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the complexities in determining the fair value, including use of complex valuation techniques and management judgment and estimation in determining assumptions and inputs into the valuation model, we identified the valuation of the warrants issued as a critical audit matter.</w:t>
      </w:r>
    </w:p>
    <w:p>
      <w:pPr>
        <w:pStyle w:val="TextBody"/>
        <w:shd w:fill="FFFFFF" w:val="clear"/>
        <w:bidi w:val="0"/>
        <w:spacing w:before="0" w:after="0"/>
        <w:ind w:left="72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How We Addressed the Matter in Our Audit</w:t>
      </w:r>
    </w:p>
    <w:p>
      <w:pPr>
        <w:pStyle w:val="TextBody"/>
        <w:shd w:fill="FFFFFF" w:val="clear"/>
        <w:bidi w:val="0"/>
        <w:spacing w:before="0" w:after="0"/>
        <w:ind w:left="72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primary procedures we performed to address this critical audit matter included:</w:t>
      </w:r>
    </w:p>
    <w:p>
      <w:pPr>
        <w:pStyle w:val="Normal"/>
        <w:bidi w:val="0"/>
        <w:spacing w:before="0" w:after="0"/>
        <w:jc w:val="left"/>
        <w:rPr>
          <w:sz w:val="4"/>
          <w:szCs w:val="4"/>
        </w:rPr>
      </w:pPr>
      <w:r>
        <w:rPr>
          <w:sz w:val="4"/>
          <w:szCs w:val="4"/>
        </w:rPr>
      </w:r>
      <w:bookmarkStart w:id="130" w:name="_Hlk129174284"/>
      <w:bookmarkStart w:id="131" w:name="_Hlk129174284"/>
      <w:bookmarkEnd w:id="131"/>
    </w:p>
    <w:tbl>
      <w:tblPr>
        <w:tblW w:w="10205" w:type="dxa"/>
        <w:jc w:val="left"/>
        <w:tblInd w:w="0" w:type="dxa"/>
        <w:shd w:fill="FFFFFF" w:val="clear"/>
        <w:tblLayout w:type="fixed"/>
        <w:tblCellMar>
          <w:top w:w="28" w:type="dxa"/>
          <w:left w:w="28" w:type="dxa"/>
          <w:bottom w:w="28" w:type="dxa"/>
          <w:right w:w="28" w:type="dxa"/>
        </w:tblCellMar>
      </w:tblPr>
      <w:tblGrid>
        <w:gridCol w:w="124"/>
        <w:gridCol w:w="286"/>
        <w:gridCol w:w="979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the assistance of a firm valuation specialist, evaluated the methodology(ies) and key assumptions used by management to assess the Company’s fair value of the warrant liability, including assessing the reasonableness of the source information underlying the valuation assumptions. </w:t>
            </w:r>
          </w:p>
        </w:tc>
      </w:tr>
    </w:tbl>
    <w:tbl>
      <w:tblPr>
        <w:tblW w:w="9096" w:type="dxa"/>
        <w:jc w:val="left"/>
        <w:tblInd w:w="0" w:type="dxa"/>
        <w:shd w:fill="FFFFFF" w:val="clear"/>
        <w:tblLayout w:type="fixed"/>
        <w:tblCellMar>
          <w:top w:w="28" w:type="dxa"/>
          <w:left w:w="28" w:type="dxa"/>
          <w:bottom w:w="28" w:type="dxa"/>
          <w:right w:w="28" w:type="dxa"/>
        </w:tblCellMar>
      </w:tblPr>
      <w:tblGrid>
        <w:gridCol w:w="124"/>
        <w:gridCol w:w="286"/>
        <w:gridCol w:w="868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Performing an independent calculation to test the reasonableness of the fair value of the warrant liability.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Baker Tilly US, LLP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Minneapolis, Minnesota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March 28,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32" w:name="_175298b7_4186_414c_9c71_b57ec107e179"/>
      <w:bookmarkEnd w:id="132"/>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133" w:name="ConsolidatedBalanceSheets_637831"/>
      <w:bookmarkEnd w:id="133"/>
      <w:r>
        <w:rPr>
          <w:rFonts w:ascii="Times New Roman;Times;serif" w:hAnsi="Times New Roman;Times;serif"/>
          <w:b/>
          <w:sz w:val="20"/>
        </w:rPr>
        <w:t>Consolidated Balance Sheets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4" w:name="Tc_bNnOhVaouUSztqaGBWop6g_33_5"/>
      <w:bookmarkStart w:id="135" w:name="Tc_gBerNMIUyEyNuR_8HH-pZQ_33_2"/>
      <w:bookmarkStart w:id="136" w:name="Tc__eqVrLIC2UO38wo9z1T-BQ_33_0"/>
      <w:bookmarkStart w:id="137" w:name="Tc_6w9TVBbM1UKNiJQY7AVXhA_32_0"/>
      <w:bookmarkStart w:id="138" w:name="Tc_9NOlsmqfhka-1woKwO8Nvg_31_0"/>
      <w:bookmarkStart w:id="139" w:name="Tc_9ekBZDPtSUWV31ieo_4G6A_30_0"/>
      <w:bookmarkStart w:id="140" w:name="Tc_PHZzSE42ekmdpG0Piftnow_29_0"/>
      <w:bookmarkStart w:id="141" w:name="Tc_oAxthh9VykGRvTarlEtPUg_28_0"/>
      <w:bookmarkStart w:id="142" w:name="Tc_sVo33097F0yZV6Gtwz908g_27_0"/>
      <w:bookmarkStart w:id="143" w:name="Tc_GxiOCEnF-UGI56IuJ9ZhMA_26_0"/>
      <w:bookmarkStart w:id="144" w:name="Tc_SzfYmYC9kUO6sIVXedPJ0w_25_0"/>
      <w:bookmarkStart w:id="145" w:name="Tc_yFIVmDpIBUiJ8i7JisU5-w_24_0"/>
      <w:bookmarkStart w:id="146" w:name="Tc_-fFh1oGRrUiWLAbSRwugmw_23_0"/>
      <w:bookmarkStart w:id="147" w:name="Tc_YEAmt-x-IEiu0GzwW63Wfg_22_0"/>
      <w:bookmarkStart w:id="148" w:name="Tc_7zwH5O4Ahkuzf4F_-tv_3Q_21_0"/>
      <w:bookmarkStart w:id="149" w:name="Tc_wYiOYrIR4kipv4klnSSDNw_20_0"/>
      <w:bookmarkStart w:id="150" w:name="Tc_QhoA-8_kLEqFkVNNVhx1DQ_19_0"/>
      <w:bookmarkStart w:id="151" w:name="Tc_GRXku_vSFUaYNyvqjew1AQ_18_0"/>
      <w:bookmarkStart w:id="152" w:name="Tc_8csVAqpVLEGEmlset7i9aQ_17_5"/>
      <w:bookmarkStart w:id="153" w:name="Tc_z9eXUKBaAka45_jvdb6Wjg_17_2"/>
      <w:bookmarkStart w:id="154" w:name="Tc_qSxFGW-ekUueLAtud2zPOg_17_0"/>
      <w:bookmarkStart w:id="155" w:name="Tc_wMyRPZGbPUqXKtubcfOjsQ_16_0"/>
      <w:bookmarkStart w:id="156" w:name="Tc_vb6_mnZlJEK6V7F7LaA2Ug_15_0"/>
      <w:bookmarkStart w:id="157" w:name="Tc_ByWPEC_-nESJjQt6cSsP4Q_14_5"/>
      <w:bookmarkStart w:id="158" w:name="Tc_Q83VQfii4EyFZICikJiW7Q_14_2"/>
      <w:bookmarkStart w:id="159" w:name="Tc_oSwhhzhHnUGCIweqZtWbWg_14_0"/>
      <w:bookmarkStart w:id="160" w:name="Tc_TpBHrfWIGE6qUAbe4VlYPw_13_0"/>
      <w:bookmarkStart w:id="161" w:name="Tc_FIEaWy0bCkyGNabr8VTa1Q_12_0"/>
      <w:bookmarkStart w:id="162" w:name="Tc_SJvegFX6Jk2pj4fKbeayqA_11_0"/>
      <w:bookmarkStart w:id="163" w:name="Tc_NWrfbFDwZk270cRAKuI8lA_10_0"/>
      <w:bookmarkStart w:id="164" w:name="Tc_R7R-qYz0a0iON_ON_hI7Pg_9_0"/>
      <w:bookmarkStart w:id="165" w:name="Tc_DmdtXgWCC0GMl8mV-qgsgw_8_0"/>
      <w:bookmarkStart w:id="166" w:name="Tc_207sxqvWEE2zDJER-N5x-A_7_0"/>
      <w:bookmarkStart w:id="167" w:name="Tc_S-vJcL6gRke8EKh4fGETTg_6_0"/>
      <w:bookmarkStart w:id="168" w:name="Tc_9ci333wzwkeXR84jfR0RYA_5_5"/>
      <w:bookmarkStart w:id="169" w:name="Tc_MgYzC4oRWEeeOql-Mjv_2g_5_2"/>
      <w:bookmarkStart w:id="170" w:name="Tc_Nur-wuPiakOAnLQd8xVPfQ_5_0"/>
      <w:bookmarkStart w:id="171" w:name="Tc_X1g7n39a00uTYnTXTSFLxA_4_0"/>
      <w:bookmarkStart w:id="172" w:name="Tc_So3LH3F7h0qaODINlJAyRg_3_0"/>
      <w:bookmarkStart w:id="173" w:name="Tc_9K7HkdvGYkW8oPIAMYIVjA_2_5"/>
      <w:bookmarkStart w:id="174" w:name="Tc_zBWb4ieBcEOBjPgYHJt3gg_2_2"/>
      <w:bookmarkStart w:id="175" w:name="Tc_a2TlxqxvGkOUgSjGTOAh9g_1_2"/>
      <w:bookmarkStart w:id="176" w:name="_c483d71a_9495_4960_96e5_db4e1a7abaca"/>
      <w:bookmarkStart w:id="177" w:name="Tc_bNnOhVaouUSztqaGBWop6g_33_5"/>
      <w:bookmarkStart w:id="178" w:name="Tc_gBerNMIUyEyNuR_8HH-pZQ_33_2"/>
      <w:bookmarkStart w:id="179" w:name="Tc__eqVrLIC2UO38wo9z1T-BQ_33_0"/>
      <w:bookmarkStart w:id="180" w:name="Tc_6w9TVBbM1UKNiJQY7AVXhA_32_0"/>
      <w:bookmarkStart w:id="181" w:name="Tc_9NOlsmqfhka-1woKwO8Nvg_31_0"/>
      <w:bookmarkStart w:id="182" w:name="Tc_9ekBZDPtSUWV31ieo_4G6A_30_0"/>
      <w:bookmarkStart w:id="183" w:name="Tc_PHZzSE42ekmdpG0Piftnow_29_0"/>
      <w:bookmarkStart w:id="184" w:name="Tc_oAxthh9VykGRvTarlEtPUg_28_0"/>
      <w:bookmarkStart w:id="185" w:name="Tc_sVo33097F0yZV6Gtwz908g_27_0"/>
      <w:bookmarkStart w:id="186" w:name="Tc_GxiOCEnF-UGI56IuJ9ZhMA_26_0"/>
      <w:bookmarkStart w:id="187" w:name="Tc_SzfYmYC9kUO6sIVXedPJ0w_25_0"/>
      <w:bookmarkStart w:id="188" w:name="Tc_yFIVmDpIBUiJ8i7JisU5-w_24_0"/>
      <w:bookmarkStart w:id="189" w:name="Tc_-fFh1oGRrUiWLAbSRwugmw_23_0"/>
      <w:bookmarkStart w:id="190" w:name="Tc_YEAmt-x-IEiu0GzwW63Wfg_22_0"/>
      <w:bookmarkStart w:id="191" w:name="Tc_7zwH5O4Ahkuzf4F_-tv_3Q_21_0"/>
      <w:bookmarkStart w:id="192" w:name="Tc_wYiOYrIR4kipv4klnSSDNw_20_0"/>
      <w:bookmarkStart w:id="193" w:name="Tc_QhoA-8_kLEqFkVNNVhx1DQ_19_0"/>
      <w:bookmarkStart w:id="194" w:name="Tc_GRXku_vSFUaYNyvqjew1AQ_18_0"/>
      <w:bookmarkStart w:id="195" w:name="Tc_8csVAqpVLEGEmlset7i9aQ_17_5"/>
      <w:bookmarkStart w:id="196" w:name="Tc_z9eXUKBaAka45_jvdb6Wjg_17_2"/>
      <w:bookmarkStart w:id="197" w:name="Tc_qSxFGW-ekUueLAtud2zPOg_17_0"/>
      <w:bookmarkStart w:id="198" w:name="Tc_wMyRPZGbPUqXKtubcfOjsQ_16_0"/>
      <w:bookmarkStart w:id="199" w:name="Tc_vb6_mnZlJEK6V7F7LaA2Ug_15_0"/>
      <w:bookmarkStart w:id="200" w:name="Tc_ByWPEC_-nESJjQt6cSsP4Q_14_5"/>
      <w:bookmarkStart w:id="201" w:name="Tc_Q83VQfii4EyFZICikJiW7Q_14_2"/>
      <w:bookmarkStart w:id="202" w:name="Tc_oSwhhzhHnUGCIweqZtWbWg_14_0"/>
      <w:bookmarkStart w:id="203" w:name="Tc_TpBHrfWIGE6qUAbe4VlYPw_13_0"/>
      <w:bookmarkStart w:id="204" w:name="Tc_FIEaWy0bCkyGNabr8VTa1Q_12_0"/>
      <w:bookmarkStart w:id="205" w:name="Tc_SJvegFX6Jk2pj4fKbeayqA_11_0"/>
      <w:bookmarkStart w:id="206" w:name="Tc_NWrfbFDwZk270cRAKuI8lA_10_0"/>
      <w:bookmarkStart w:id="207" w:name="Tc_R7R-qYz0a0iON_ON_hI7Pg_9_0"/>
      <w:bookmarkStart w:id="208" w:name="Tc_DmdtXgWCC0GMl8mV-qgsgw_8_0"/>
      <w:bookmarkStart w:id="209" w:name="Tc_207sxqvWEE2zDJER-N5x-A_7_0"/>
      <w:bookmarkStart w:id="210" w:name="Tc_S-vJcL6gRke8EKh4fGETTg_6_0"/>
      <w:bookmarkStart w:id="211" w:name="Tc_9ci333wzwkeXR84jfR0RYA_5_5"/>
      <w:bookmarkStart w:id="212" w:name="Tc_MgYzC4oRWEeeOql-Mjv_2g_5_2"/>
      <w:bookmarkStart w:id="213" w:name="Tc_Nur-wuPiakOAnLQd8xVPfQ_5_0"/>
      <w:bookmarkStart w:id="214" w:name="Tc_X1g7n39a00uTYnTXTSFLxA_4_0"/>
      <w:bookmarkStart w:id="215" w:name="Tc_So3LH3F7h0qaODINlJAyRg_3_0"/>
      <w:bookmarkStart w:id="216" w:name="Tc_9K7HkdvGYkW8oPIAMYIVjA_2_5"/>
      <w:bookmarkStart w:id="217" w:name="Tc_zBWb4ieBcEOBjPgYHJt3gg_2_2"/>
      <w:bookmarkStart w:id="218" w:name="Tc_a2TlxqxvGkOUgSjGTOAh9g_1_2"/>
      <w:bookmarkStart w:id="219" w:name="_c483d71a_9495_4960_96e5_db4e1a7abaca"/>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tbl>
      <w:tblPr>
        <w:tblW w:w="10205" w:type="dxa"/>
        <w:jc w:val="left"/>
        <w:tblInd w:w="0" w:type="dxa"/>
        <w:tblLayout w:type="fixed"/>
        <w:tblCellMar>
          <w:top w:w="0" w:type="dxa"/>
          <w:left w:w="0" w:type="dxa"/>
          <w:bottom w:w="0" w:type="dxa"/>
          <w:right w:w="0" w:type="dxa"/>
        </w:tblCellMar>
      </w:tblPr>
      <w:tblGrid>
        <w:gridCol w:w="7748"/>
        <w:gridCol w:w="109"/>
        <w:gridCol w:w="211"/>
        <w:gridCol w:w="867"/>
        <w:gridCol w:w="146"/>
        <w:gridCol w:w="211"/>
        <w:gridCol w:w="913"/>
      </w:tblGrid>
      <w:tr>
        <w:trPr/>
        <w:tc>
          <w:tcPr>
            <w:tcW w:w="7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919980" cy="175260"/>
                      <wp:effectExtent l="0" t="0" r="0" b="0"/>
                      <wp:wrapNone/>
                      <wp:docPr id="135" name="Frame131"/>
                      <a:graphic xmlns:a="http://schemas.openxmlformats.org/drawingml/2006/main">
                        <a:graphicData uri="http://schemas.microsoft.com/office/word/2010/wordprocessingShape">
                          <wps:wsp>
                            <wps:cNvSpPr txBox="1"/>
                            <wps:spPr>
                              <a:xfrm>
                                <a:off x="0" y="0"/>
                                <a:ext cx="4919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6" name="Frame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7"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50545" cy="175260"/>
                      <wp:effectExtent l="0" t="0" r="0" b="0"/>
                      <wp:wrapNone/>
                      <wp:docPr id="138" name="Frame134"/>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2710" cy="175260"/>
                      <wp:effectExtent l="0" t="0" r="0" b="0"/>
                      <wp:wrapNone/>
                      <wp:docPr id="139" name="Frame1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0"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79755" cy="175260"/>
                      <wp:effectExtent l="0" t="0" r="0" b="0"/>
                      <wp:wrapNone/>
                      <wp:docPr id="141" name="Frame137"/>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7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7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74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  </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  </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14,549</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receivable, net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16,697</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17,287</w:t>
            </w:r>
          </w:p>
        </w:tc>
      </w:tr>
      <w:tr>
        <w:trPr/>
        <w:tc>
          <w:tcPr>
            <w:tcW w:w="774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pPr>
            <w:r>
              <w:rPr/>
              <w:t>​</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pPr>
            <w:r>
              <w:rPr/>
              <w:t>​</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net of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6,917</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9,136</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pPr>
            <w:r>
              <w:rPr/>
              <w:t>​</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pPr>
            <w:r>
              <w:rPr/>
              <w:t>​</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A common stock, $0.001 par value; 150,000,000 shares authorized; 714,590 and 564,094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2023 and December 31, 2022, respectively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162,979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159,645</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(159,957)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(151,107)</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7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8,151</w:t>
            </w:r>
          </w:p>
        </w:tc>
      </w:tr>
      <w:tr>
        <w:trPr/>
        <w:tc>
          <w:tcPr>
            <w:tcW w:w="7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17,287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20" w:name="_153fa546_3fc1_41b7_9abd_3c264e639d16"/>
      <w:bookmarkEnd w:id="220"/>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221" w:name="ConsolidatedStatementsofOperationsandCom"/>
      <w:bookmarkEnd w:id="221"/>
      <w:r>
        <w:rPr>
          <w:rFonts w:ascii="Times New Roman;Times;serif" w:hAnsi="Times New Roman;Times;serif"/>
          <w:b/>
          <w:sz w:val="20"/>
        </w:rPr>
        <w:t>Consolidated Statements of Operations and Comprehensive Loss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2" w:name="Tc_8f8y6GTW_EWMHkIUfCZs-w_35_0"/>
      <w:bookmarkStart w:id="223" w:name="Tc_PK7C9xf2_UObDrQFoJENoA_34_0"/>
      <w:bookmarkStart w:id="224" w:name="Tc_ppz7bY365UOxzBMJ7M866A_33_0"/>
      <w:bookmarkStart w:id="225" w:name="Tc_pv90diTc3EODFIu06YLNOg_32_5"/>
      <w:bookmarkStart w:id="226" w:name="Tc_6_PPKvPS2Eql1wgtuKEMug_32_2"/>
      <w:bookmarkStart w:id="227" w:name="Tc_WA3rAsENwkiLHQ-KOTAluw_32_0"/>
      <w:bookmarkStart w:id="228" w:name="Tc_olrvH0VXo0usdoCIq8RUFA_31_5"/>
      <w:bookmarkStart w:id="229" w:name="Tc_PaYmwsSQlEK2bugNXQVlpQ_31_2"/>
      <w:bookmarkStart w:id="230" w:name="Tc_UbzE_L9_ek-zTZknh1WAmw_31_0"/>
      <w:bookmarkStart w:id="231" w:name="Tc_lRw9VC0gSkauTxhm6yvlDQ_30_0"/>
      <w:bookmarkStart w:id="232" w:name="Tc_4gnwCAEjBUSBvHXOVvYPbA_29_5"/>
      <w:bookmarkStart w:id="233" w:name="Tc_pi8XFNca3ECt02_XeuIABw_29_2"/>
      <w:bookmarkStart w:id="234" w:name="Tc_59B8dySSjkGzi7iRtJXtNA_29_0"/>
      <w:bookmarkStart w:id="235" w:name="Tc_m76izB-E6EiAr6v4hbC80A_28_0"/>
      <w:bookmarkStart w:id="236" w:name="Tc_-sQMqd3zTU-dzOphMmgruQ_27_0"/>
      <w:bookmarkStart w:id="237" w:name="Tc_tUmMJeZSE0qUl8jQCJS1vw_26_0"/>
      <w:bookmarkStart w:id="238" w:name="Tc_uYvkA67fU0mi72WRNR_9xg_25_0"/>
      <w:bookmarkStart w:id="239" w:name="Tc_CKQjsMEdCU2B0Ojs4vFFXQ_24_0"/>
      <w:bookmarkStart w:id="240" w:name="Tc_lvAJKBQEBUqm68fY_CfBQg_23_0"/>
      <w:bookmarkStart w:id="241" w:name="Tc_WninC2M5HEG_FMtSVRK1MA_22_0"/>
      <w:bookmarkStart w:id="242" w:name="Tc_Rre71PN6y0uj-tW5zGbapA_21_0"/>
      <w:bookmarkStart w:id="243" w:name="Tc_HXBpmj4-Gk6GwfPTY5YdPw_20_0"/>
      <w:bookmarkStart w:id="244" w:name="Tc_2w3nRKofFkWYkdKXnDZWgg_19_0"/>
      <w:bookmarkStart w:id="245" w:name="Tc_RGKlh4aZYkmryJssBRVUVQ_18_0"/>
      <w:bookmarkStart w:id="246" w:name="Tc_svvCSl7V0UOnmX28ealpbQ_17_0"/>
      <w:bookmarkStart w:id="247" w:name="Tc_yUOkLxJ4U0GMPlPdmjpjnA_16_0"/>
      <w:bookmarkStart w:id="248" w:name="Tc_kvLtBw1_MEWNlZeejoU_0Q_15_0"/>
      <w:bookmarkStart w:id="249" w:name="Tc_BiiJ1nGgjUSrkBzYf3glRw_14_0"/>
      <w:bookmarkStart w:id="250" w:name="Tc_r9kt7BuEZkqkz0VjRKuOgg_13_0"/>
      <w:bookmarkStart w:id="251" w:name="Tc_LvBciYnq2Eaax0e_dQr5xw_12_0"/>
      <w:bookmarkStart w:id="252" w:name="Tc_ZTE1SHLUp0KB8ic4pOt6xQ_11_0"/>
      <w:bookmarkStart w:id="253" w:name="Tc_HnbdWAo2-UmfoNyTDIo99Q_10_0"/>
      <w:bookmarkStart w:id="254" w:name="Tc_KyrBL-VH7Eye5v7GMHYi3w_8_0"/>
      <w:bookmarkStart w:id="255" w:name="Tc_g8tp0Iqx2kuXfZHUznw-eQ_7_0"/>
      <w:bookmarkStart w:id="256" w:name="Tc_rsJIuqHCx0WuSwYPgSO7OQ_6_5"/>
      <w:bookmarkStart w:id="257" w:name="Tc_fSw9i5xUOEWvd37RAniEWA_6_2"/>
      <w:bookmarkStart w:id="258" w:name="Tc_2UqSCelcwUyIAIsNNSWptg_5_0"/>
      <w:bookmarkStart w:id="259" w:name="Tc_BZQQle1LcUSjc3wUnhwkhA_3_5"/>
      <w:bookmarkStart w:id="260" w:name="Tc_NcmpVK6jE0e_8yzajT5dcQ_3_2"/>
      <w:bookmarkStart w:id="261" w:name="Tc_DWLH5BSepUu6SFqDkVs5xw_1_2"/>
      <w:bookmarkStart w:id="262" w:name="_3ca3ad8d_69d8_48a3_a9b9_37c7a29d163b"/>
      <w:bookmarkStart w:id="263" w:name="Tc_8f8y6GTW_EWMHkIUfCZs-w_35_0"/>
      <w:bookmarkStart w:id="264" w:name="Tc_PK7C9xf2_UObDrQFoJENoA_34_0"/>
      <w:bookmarkStart w:id="265" w:name="Tc_ppz7bY365UOxzBMJ7M866A_33_0"/>
      <w:bookmarkStart w:id="266" w:name="Tc_pv90diTc3EODFIu06YLNOg_32_5"/>
      <w:bookmarkStart w:id="267" w:name="Tc_6_PPKvPS2Eql1wgtuKEMug_32_2"/>
      <w:bookmarkStart w:id="268" w:name="Tc_WA3rAsENwkiLHQ-KOTAluw_32_0"/>
      <w:bookmarkStart w:id="269" w:name="Tc_olrvH0VXo0usdoCIq8RUFA_31_5"/>
      <w:bookmarkStart w:id="270" w:name="Tc_PaYmwsSQlEK2bugNXQVlpQ_31_2"/>
      <w:bookmarkStart w:id="271" w:name="Tc_UbzE_L9_ek-zTZknh1WAmw_31_0"/>
      <w:bookmarkStart w:id="272" w:name="Tc_lRw9VC0gSkauTxhm6yvlDQ_30_0"/>
      <w:bookmarkStart w:id="273" w:name="Tc_4gnwCAEjBUSBvHXOVvYPbA_29_5"/>
      <w:bookmarkStart w:id="274" w:name="Tc_pi8XFNca3ECt02_XeuIABw_29_2"/>
      <w:bookmarkStart w:id="275" w:name="Tc_59B8dySSjkGzi7iRtJXtNA_29_0"/>
      <w:bookmarkStart w:id="276" w:name="Tc_m76izB-E6EiAr6v4hbC80A_28_0"/>
      <w:bookmarkStart w:id="277" w:name="Tc_-sQMqd3zTU-dzOphMmgruQ_27_0"/>
      <w:bookmarkStart w:id="278" w:name="Tc_tUmMJeZSE0qUl8jQCJS1vw_26_0"/>
      <w:bookmarkStart w:id="279" w:name="Tc_uYvkA67fU0mi72WRNR_9xg_25_0"/>
      <w:bookmarkStart w:id="280" w:name="Tc_CKQjsMEdCU2B0Ojs4vFFXQ_24_0"/>
      <w:bookmarkStart w:id="281" w:name="Tc_lvAJKBQEBUqm68fY_CfBQg_23_0"/>
      <w:bookmarkStart w:id="282" w:name="Tc_WninC2M5HEG_FMtSVRK1MA_22_0"/>
      <w:bookmarkStart w:id="283" w:name="Tc_Rre71PN6y0uj-tW5zGbapA_21_0"/>
      <w:bookmarkStart w:id="284" w:name="Tc_HXBpmj4-Gk6GwfPTY5YdPw_20_0"/>
      <w:bookmarkStart w:id="285" w:name="Tc_2w3nRKofFkWYkdKXnDZWgg_19_0"/>
      <w:bookmarkStart w:id="286" w:name="Tc_RGKlh4aZYkmryJssBRVUVQ_18_0"/>
      <w:bookmarkStart w:id="287" w:name="Tc_svvCSl7V0UOnmX28ealpbQ_17_0"/>
      <w:bookmarkStart w:id="288" w:name="Tc_yUOkLxJ4U0GMPlPdmjpjnA_16_0"/>
      <w:bookmarkStart w:id="289" w:name="Tc_kvLtBw1_MEWNlZeejoU_0Q_15_0"/>
      <w:bookmarkStart w:id="290" w:name="Tc_BiiJ1nGgjUSrkBzYf3glRw_14_0"/>
      <w:bookmarkStart w:id="291" w:name="Tc_r9kt7BuEZkqkz0VjRKuOgg_13_0"/>
      <w:bookmarkStart w:id="292" w:name="Tc_LvBciYnq2Eaax0e_dQr5xw_12_0"/>
      <w:bookmarkStart w:id="293" w:name="Tc_ZTE1SHLUp0KB8ic4pOt6xQ_11_0"/>
      <w:bookmarkStart w:id="294" w:name="Tc_HnbdWAo2-UmfoNyTDIo99Q_10_0"/>
      <w:bookmarkStart w:id="295" w:name="Tc_KyrBL-VH7Eye5v7GMHYi3w_8_0"/>
      <w:bookmarkStart w:id="296" w:name="Tc_g8tp0Iqx2kuXfZHUznw-eQ_7_0"/>
      <w:bookmarkStart w:id="297" w:name="Tc_rsJIuqHCx0WuSwYPgSO7OQ_6_5"/>
      <w:bookmarkStart w:id="298" w:name="Tc_fSw9i5xUOEWvd37RAniEWA_6_2"/>
      <w:bookmarkStart w:id="299" w:name="Tc_2UqSCelcwUyIAIsNNSWptg_5_0"/>
      <w:bookmarkStart w:id="300" w:name="Tc_BZQQle1LcUSjc3wUnhwkhA_3_5"/>
      <w:bookmarkStart w:id="301" w:name="Tc_NcmpVK6jE0e_8yzajT5dcQ_3_2"/>
      <w:bookmarkStart w:id="302" w:name="Tc_DWLH5BSepUu6SFqDkVs5xw_1_2"/>
      <w:bookmarkStart w:id="303" w:name="_3ca3ad8d_69d8_48a3_a9b9_37c7a29d163b"/>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tbl>
      <w:tblPr>
        <w:tblW w:w="7520" w:type="dxa"/>
        <w:jc w:val="left"/>
        <w:tblInd w:w="0" w:type="dxa"/>
        <w:tblLayout w:type="fixed"/>
        <w:tblCellMar>
          <w:top w:w="0" w:type="dxa"/>
          <w:left w:w="0" w:type="dxa"/>
          <w:bottom w:w="0" w:type="dxa"/>
          <w:right w:w="0" w:type="dxa"/>
        </w:tblCellMar>
      </w:tblPr>
      <w:tblGrid>
        <w:gridCol w:w="4981"/>
        <w:gridCol w:w="109"/>
        <w:gridCol w:w="211"/>
        <w:gridCol w:w="796"/>
        <w:gridCol w:w="326"/>
        <w:gridCol w:w="211"/>
        <w:gridCol w:w="886"/>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162935" cy="175260"/>
                      <wp:effectExtent l="0" t="0" r="0" b="0"/>
                      <wp:wrapNone/>
                      <wp:docPr id="142" name="Frame138"/>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3"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4"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05460" cy="175260"/>
                      <wp:effectExtent l="0" t="0" r="0" b="0"/>
                      <wp:wrapNone/>
                      <wp:docPr id="145" name="Frame1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6"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7"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62610" cy="175260"/>
                      <wp:effectExtent l="0" t="0" r="0" b="0"/>
                      <wp:wrapNone/>
                      <wp:docPr id="148" name="Frame1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10,640</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4,262</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fixed asset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15,840</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(15,516)</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Nonoperating income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exchange gain (loss)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(14,072)</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(14,072)</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(13,335)</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(52.13)</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(52.13)</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607,890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269,929</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607,890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269,929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04" w:name="_5a6fd801_ac0f_4a47_af37_8b15a64ce811"/>
      <w:bookmarkEnd w:id="304"/>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305" w:name="ConsolidatedStatementsofStockholdersEqui"/>
      <w:bookmarkEnd w:id="305"/>
      <w:r>
        <w:rPr>
          <w:rFonts w:ascii="Times New Roman;Times;serif" w:hAnsi="Times New Roman;Times;serif"/>
          <w:b/>
          <w:sz w:val="20"/>
        </w:rPr>
        <w:t>Consolidated Statements of Stockholders’ Equity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6" w:name="Tc_EKVliw6bDUGks4qU3PNBMw_14_16"/>
      <w:bookmarkStart w:id="307" w:name="Tc_VhXPEtbccUW8ymMJeQiOtA_14_13"/>
      <w:bookmarkStart w:id="308" w:name="Tc_K3rbWk4ZvUK3xgJpk-3e1Q_14_10"/>
      <w:bookmarkStart w:id="309" w:name="Tc_Lb2wqCxWskmQPvjfpVIRwg_14_7"/>
      <w:bookmarkStart w:id="310" w:name="Tc_biAv2L-MLESflYbX1m9KbA_14_4"/>
      <w:bookmarkStart w:id="311" w:name="Tc_3sTMkTYsS0O-TVSAFjQzow_14_0"/>
      <w:bookmarkStart w:id="312" w:name="Tc_lfYXOTnf_0K8d4NCQWi_DA_13_14"/>
      <w:bookmarkStart w:id="313" w:name="Tc_OGDYmW5Q6Um7gWZagTlWqg_13_8"/>
      <w:bookmarkStart w:id="314" w:name="Tc__eGSj5Z1GkCuhDwL0yuvJg_13_5"/>
      <w:bookmarkStart w:id="315" w:name="Tc_V-PYnDWe1EmBZlEQXzacEw_13_2"/>
      <w:bookmarkStart w:id="316" w:name="Tc_ozESWnIb3kGGGi_-XyZ4ag_13_0"/>
      <w:bookmarkStart w:id="317" w:name="Tc_b2_Sj7hfIk-_0y5pQ7u4fA_12_11"/>
      <w:bookmarkStart w:id="318" w:name="Tc_GYvNoCIERES-NbpiMG8lSA_12_8"/>
      <w:bookmarkStart w:id="319" w:name="Tc_nGEqGI7EV02RsZ36HK4Muw_12_5"/>
      <w:bookmarkStart w:id="320" w:name="Tc_fHrQ4x2PgkCQzX32xeVa2Q_12_2"/>
      <w:bookmarkStart w:id="321" w:name="Tc_09mNCDKu-kewpdlaON1Urw_12_0"/>
      <w:bookmarkStart w:id="322" w:name="Tc_CnJur-knL0iBF_Ltr6nqPg_11_14"/>
      <w:bookmarkStart w:id="323" w:name="Tc_TphOsIPJb0uMpCFqxgkM9w_11_11"/>
      <w:bookmarkStart w:id="324" w:name="Tc_zAMNbcN8UE2ECYSlaEmrPA_11_5"/>
      <w:bookmarkStart w:id="325" w:name="Tc_eMggkMdfhE-qRjI5uT6cKg_11_0"/>
      <w:bookmarkStart w:id="326" w:name="Tc_8tvcKg_4pUmggPKnZ-21UA_10_14"/>
      <w:bookmarkStart w:id="327" w:name="Tc_Lzwb8TRZCUWkLN9m1VVcMA_10_11"/>
      <w:bookmarkStart w:id="328" w:name="Tc_X_jSb29fWEuEtih3CBu7ow_10_5"/>
      <w:bookmarkStart w:id="329" w:name="Tc_nAZVq6vr_ky4k93DiQ9WhA_10_0"/>
      <w:bookmarkStart w:id="330" w:name="Tc_U-WhJW50LEuNMPFqIFIyAg_9_17"/>
      <w:bookmarkStart w:id="331" w:name="Tc_5UXz-1tiKEGEcQX3yHT_8g_9_14"/>
      <w:bookmarkStart w:id="332" w:name="Tc_uFF2MEkym0-mgJRIoHHifw_9_11"/>
      <w:bookmarkStart w:id="333" w:name="Tc_2XlVrCabZEylo7Y7JzOh8g_9_8"/>
      <w:bookmarkStart w:id="334" w:name="Tc_6g1lqDJY4kCzw0sJUSPU5A_9_5"/>
      <w:bookmarkStart w:id="335" w:name="Tc_wlNHwYlhp0CtIKVF8VSkbg_9_0"/>
      <w:bookmarkStart w:id="336" w:name="Tc_aLjM2OmQ90SN51sAYoFHug_8_14"/>
      <w:bookmarkStart w:id="337" w:name="Tc_ffOen_viiEyhsYx25q3PYg_8_11"/>
      <w:bookmarkStart w:id="338" w:name="Tc_9A1RFK6u8EqRBOvkkkRkmQ_8_5"/>
      <w:bookmarkStart w:id="339" w:name="Tc_KgQtbuxA7E2tFpO5c_JMFA_8_2"/>
      <w:bookmarkStart w:id="340" w:name="Tc_b-zTbJ9OEE2VSLAVjLJFcA_8_0"/>
      <w:bookmarkStart w:id="341" w:name="Tc_VQ9eZCdG6kWjstsIACGZDA_7_14"/>
      <w:bookmarkStart w:id="342" w:name="Tc_Uf_5kBPbMEaFXV8Aen1qIQ_7_11"/>
      <w:bookmarkStart w:id="343" w:name="Tc_vvXvZ4VuiUCBXpBi4LqykQ_7_0"/>
      <w:bookmarkStart w:id="344" w:name="Tc_EuGL0qgkf0KI_aeMaaM7VQ_6_14"/>
      <w:bookmarkStart w:id="345" w:name="Tc_g5VkUb2roEGqtdkG14SiYA_6_11"/>
      <w:bookmarkStart w:id="346" w:name="Tc_xn8Xqd3PHEG333PKWVsNaQ_6_5"/>
      <w:bookmarkStart w:id="347" w:name="Tc_I8Fq1vXOk0umzY5wNxw7Nw_6_0"/>
      <w:bookmarkStart w:id="348" w:name="Tc_LmNs0nBMf0iccS6Vu-e5Hw_5_16"/>
      <w:bookmarkStart w:id="349" w:name="Tc_GQAzro7lFEG_5WhzbvOxIA_5_13"/>
      <w:bookmarkStart w:id="350" w:name="Tc_Yat-pwyTEEiYNgAmFGhJow_5_10"/>
      <w:bookmarkStart w:id="351" w:name="Tc_31znaniYpUeJdPuSfH5o1g_5_7"/>
      <w:bookmarkStart w:id="352" w:name="Tc_y7plZPi54EeBlJeIiyp1xw_5_5"/>
      <w:bookmarkStart w:id="353" w:name="Tc_wwNUEKL6CE-1xGU-4NxlSA_5_4"/>
      <w:bookmarkStart w:id="354" w:name="Tc_IrlyOmYUFEm7la0I7zzeDw_5_0"/>
      <w:bookmarkStart w:id="355" w:name="Tc_8VwhPW4sAk-tIKQc8Rk4_A_4_16"/>
      <w:bookmarkStart w:id="356" w:name="Tc_rdHBW4JCiUqR6Q3d18kQAQ_4_13"/>
      <w:bookmarkStart w:id="357" w:name="Tc_iNzPVRvUzEG-J2dAOnWr9w_4_10"/>
      <w:bookmarkStart w:id="358" w:name="Tc_302cFIbdNEyhPndqJkj3zQ_4_7"/>
      <w:bookmarkStart w:id="359" w:name="Tc_3RO72njPkU-1rOCY4NXigQ_4_4"/>
      <w:bookmarkStart w:id="360" w:name="Tc_bMWcWtSYGE6RXYe8hgtUDA_4_2"/>
      <w:bookmarkStart w:id="361" w:name="Tc_mTtl7V_430u0YTIS5IvFyQ_3_13"/>
      <w:bookmarkStart w:id="362" w:name="Tc_Myqpw5usXke4NpU6FZgYFA_3_10"/>
      <w:bookmarkStart w:id="363" w:name="Tc_WFvPdoZFwEm1dbjqUZZy9w_3_7"/>
      <w:bookmarkStart w:id="364" w:name="Tc_JT3Ucyj_WUeN7pjtsPAfTQ_3_2"/>
      <w:bookmarkStart w:id="365" w:name="Tc_PsxiTV0dF0eLbnyG85M1Vw_2_13"/>
      <w:bookmarkStart w:id="366" w:name="Tc_nuwg54TRdkqkieogbY5R-Q_2_7"/>
      <w:bookmarkStart w:id="367" w:name="Tc_lf8TN9VxHE2e4jiWZPhlwg_1_13"/>
      <w:bookmarkStart w:id="368" w:name="_2c9812b9_d329_449e_bac6_47d828794f6d"/>
      <w:bookmarkStart w:id="369" w:name="Tc_EKVliw6bDUGks4qU3PNBMw_14_16"/>
      <w:bookmarkStart w:id="370" w:name="Tc_VhXPEtbccUW8ymMJeQiOtA_14_13"/>
      <w:bookmarkStart w:id="371" w:name="Tc_K3rbWk4ZvUK3xgJpk-3e1Q_14_10"/>
      <w:bookmarkStart w:id="372" w:name="Tc_Lb2wqCxWskmQPvjfpVIRwg_14_7"/>
      <w:bookmarkStart w:id="373" w:name="Tc_biAv2L-MLESflYbX1m9KbA_14_4"/>
      <w:bookmarkStart w:id="374" w:name="Tc_3sTMkTYsS0O-TVSAFjQzow_14_0"/>
      <w:bookmarkStart w:id="375" w:name="Tc_lfYXOTnf_0K8d4NCQWi_DA_13_14"/>
      <w:bookmarkStart w:id="376" w:name="Tc_OGDYmW5Q6Um7gWZagTlWqg_13_8"/>
      <w:bookmarkStart w:id="377" w:name="Tc__eGSj5Z1GkCuhDwL0yuvJg_13_5"/>
      <w:bookmarkStart w:id="378" w:name="Tc_V-PYnDWe1EmBZlEQXzacEw_13_2"/>
      <w:bookmarkStart w:id="379" w:name="Tc_ozESWnIb3kGGGi_-XyZ4ag_13_0"/>
      <w:bookmarkStart w:id="380" w:name="Tc_b2_Sj7hfIk-_0y5pQ7u4fA_12_11"/>
      <w:bookmarkStart w:id="381" w:name="Tc_GYvNoCIERES-NbpiMG8lSA_12_8"/>
      <w:bookmarkStart w:id="382" w:name="Tc_nGEqGI7EV02RsZ36HK4Muw_12_5"/>
      <w:bookmarkStart w:id="383" w:name="Tc_fHrQ4x2PgkCQzX32xeVa2Q_12_2"/>
      <w:bookmarkStart w:id="384" w:name="Tc_09mNCDKu-kewpdlaON1Urw_12_0"/>
      <w:bookmarkStart w:id="385" w:name="Tc_CnJur-knL0iBF_Ltr6nqPg_11_14"/>
      <w:bookmarkStart w:id="386" w:name="Tc_TphOsIPJb0uMpCFqxgkM9w_11_11"/>
      <w:bookmarkStart w:id="387" w:name="Tc_zAMNbcN8UE2ECYSlaEmrPA_11_5"/>
      <w:bookmarkStart w:id="388" w:name="Tc_eMggkMdfhE-qRjI5uT6cKg_11_0"/>
      <w:bookmarkStart w:id="389" w:name="Tc_8tvcKg_4pUmggPKnZ-21UA_10_14"/>
      <w:bookmarkStart w:id="390" w:name="Tc_Lzwb8TRZCUWkLN9m1VVcMA_10_11"/>
      <w:bookmarkStart w:id="391" w:name="Tc_X_jSb29fWEuEtih3CBu7ow_10_5"/>
      <w:bookmarkStart w:id="392" w:name="Tc_nAZVq6vr_ky4k93DiQ9WhA_10_0"/>
      <w:bookmarkStart w:id="393" w:name="Tc_U-WhJW50LEuNMPFqIFIyAg_9_17"/>
      <w:bookmarkStart w:id="394" w:name="Tc_5UXz-1tiKEGEcQX3yHT_8g_9_14"/>
      <w:bookmarkStart w:id="395" w:name="Tc_uFF2MEkym0-mgJRIoHHifw_9_11"/>
      <w:bookmarkStart w:id="396" w:name="Tc_2XlVrCabZEylo7Y7JzOh8g_9_8"/>
      <w:bookmarkStart w:id="397" w:name="Tc_6g1lqDJY4kCzw0sJUSPU5A_9_5"/>
      <w:bookmarkStart w:id="398" w:name="Tc_wlNHwYlhp0CtIKVF8VSkbg_9_0"/>
      <w:bookmarkStart w:id="399" w:name="Tc_aLjM2OmQ90SN51sAYoFHug_8_14"/>
      <w:bookmarkStart w:id="400" w:name="Tc_ffOen_viiEyhsYx25q3PYg_8_11"/>
      <w:bookmarkStart w:id="401" w:name="Tc_9A1RFK6u8EqRBOvkkkRkmQ_8_5"/>
      <w:bookmarkStart w:id="402" w:name="Tc_KgQtbuxA7E2tFpO5c_JMFA_8_2"/>
      <w:bookmarkStart w:id="403" w:name="Tc_b-zTbJ9OEE2VSLAVjLJFcA_8_0"/>
      <w:bookmarkStart w:id="404" w:name="Tc_VQ9eZCdG6kWjstsIACGZDA_7_14"/>
      <w:bookmarkStart w:id="405" w:name="Tc_Uf_5kBPbMEaFXV8Aen1qIQ_7_11"/>
      <w:bookmarkStart w:id="406" w:name="Tc_vvXvZ4VuiUCBXpBi4LqykQ_7_0"/>
      <w:bookmarkStart w:id="407" w:name="Tc_EuGL0qgkf0KI_aeMaaM7VQ_6_14"/>
      <w:bookmarkStart w:id="408" w:name="Tc_g5VkUb2roEGqtdkG14SiYA_6_11"/>
      <w:bookmarkStart w:id="409" w:name="Tc_xn8Xqd3PHEG333PKWVsNaQ_6_5"/>
      <w:bookmarkStart w:id="410" w:name="Tc_I8Fq1vXOk0umzY5wNxw7Nw_6_0"/>
      <w:bookmarkStart w:id="411" w:name="Tc_LmNs0nBMf0iccS6Vu-e5Hw_5_16"/>
      <w:bookmarkStart w:id="412" w:name="Tc_GQAzro7lFEG_5WhzbvOxIA_5_13"/>
      <w:bookmarkStart w:id="413" w:name="Tc_Yat-pwyTEEiYNgAmFGhJow_5_10"/>
      <w:bookmarkStart w:id="414" w:name="Tc_31znaniYpUeJdPuSfH5o1g_5_7"/>
      <w:bookmarkStart w:id="415" w:name="Tc_y7plZPi54EeBlJeIiyp1xw_5_5"/>
      <w:bookmarkStart w:id="416" w:name="Tc_wwNUEKL6CE-1xGU-4NxlSA_5_4"/>
      <w:bookmarkStart w:id="417" w:name="Tc_IrlyOmYUFEm7la0I7zzeDw_5_0"/>
      <w:bookmarkStart w:id="418" w:name="Tc_8VwhPW4sAk-tIKQc8Rk4_A_4_16"/>
      <w:bookmarkStart w:id="419" w:name="Tc_rdHBW4JCiUqR6Q3d18kQAQ_4_13"/>
      <w:bookmarkStart w:id="420" w:name="Tc_iNzPVRvUzEG-J2dAOnWr9w_4_10"/>
      <w:bookmarkStart w:id="421" w:name="Tc_302cFIbdNEyhPndqJkj3zQ_4_7"/>
      <w:bookmarkStart w:id="422" w:name="Tc_3RO72njPkU-1rOCY4NXigQ_4_4"/>
      <w:bookmarkStart w:id="423" w:name="Tc_bMWcWtSYGE6RXYe8hgtUDA_4_2"/>
      <w:bookmarkStart w:id="424" w:name="Tc_mTtl7V_430u0YTIS5IvFyQ_3_13"/>
      <w:bookmarkStart w:id="425" w:name="Tc_Myqpw5usXke4NpU6FZgYFA_3_10"/>
      <w:bookmarkStart w:id="426" w:name="Tc_WFvPdoZFwEm1dbjqUZZy9w_3_7"/>
      <w:bookmarkStart w:id="427" w:name="Tc_JT3Ucyj_WUeN7pjtsPAfTQ_3_2"/>
      <w:bookmarkStart w:id="428" w:name="Tc_PsxiTV0dF0eLbnyG85M1Vw_2_13"/>
      <w:bookmarkStart w:id="429" w:name="Tc_nuwg54TRdkqkieogbY5R-Q_2_7"/>
      <w:bookmarkStart w:id="430" w:name="Tc_lf8TN9VxHE2e4jiWZPhlwg_1_13"/>
      <w:bookmarkStart w:id="431" w:name="_2c9812b9_d329_449e_bac6_47d828794f6d"/>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tbl>
      <w:tblPr>
        <w:tblW w:w="10205" w:type="dxa"/>
        <w:jc w:val="left"/>
        <w:tblInd w:w="0" w:type="dxa"/>
        <w:tblLayout w:type="fixed"/>
        <w:tblCellMar>
          <w:top w:w="0" w:type="dxa"/>
          <w:left w:w="0" w:type="dxa"/>
          <w:bottom w:w="0" w:type="dxa"/>
          <w:right w:w="0" w:type="dxa"/>
        </w:tblCellMar>
      </w:tblPr>
      <w:tblGrid>
        <w:gridCol w:w="2460"/>
        <w:gridCol w:w="326"/>
        <w:gridCol w:w="800"/>
        <w:gridCol w:w="334"/>
        <w:gridCol w:w="261"/>
        <w:gridCol w:w="430"/>
        <w:gridCol w:w="326"/>
        <w:gridCol w:w="211"/>
        <w:gridCol w:w="781"/>
        <w:gridCol w:w="326"/>
        <w:gridCol w:w="211"/>
        <w:gridCol w:w="859"/>
        <w:gridCol w:w="326"/>
        <w:gridCol w:w="304"/>
        <w:gridCol w:w="912"/>
        <w:gridCol w:w="326"/>
        <w:gridCol w:w="211"/>
        <w:gridCol w:w="801"/>
      </w:tblGrid>
      <w:tr>
        <w:trPr/>
        <w:tc>
          <w:tcPr>
            <w:tcW w:w="2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62100" cy="175260"/>
                      <wp:effectExtent l="0" t="0" r="0" b="0"/>
                      <wp:wrapNone/>
                      <wp:docPr id="149" name="Frame145"/>
                      <a:graphic xmlns:a="http://schemas.openxmlformats.org/drawingml/2006/main">
                        <a:graphicData uri="http://schemas.microsoft.com/office/word/2010/wordprocessingShape">
                          <wps:wsp>
                            <wps:cNvSpPr txBox="1"/>
                            <wps:spPr>
                              <a:xfrm>
                                <a:off x="0" y="0"/>
                                <a:ext cx="156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0"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08000" cy="175260"/>
                      <wp:effectExtent l="0" t="0" r="0" b="0"/>
                      <wp:wrapNone/>
                      <wp:docPr id="151" name="Frame147"/>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2090" cy="175260"/>
                      <wp:effectExtent l="0" t="0" r="0" b="0"/>
                      <wp:wrapNone/>
                      <wp:docPr id="152" name="Frame148"/>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65735" cy="175260"/>
                      <wp:effectExtent l="0" t="0" r="0" b="0"/>
                      <wp:wrapNone/>
                      <wp:docPr id="153" name="Frame149"/>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73050" cy="175260"/>
                      <wp:effectExtent l="0" t="0" r="0" b="0"/>
                      <wp:wrapNone/>
                      <wp:docPr id="154" name="Frame150"/>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5"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6"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95935" cy="175260"/>
                      <wp:effectExtent l="0" t="0" r="0" b="0"/>
                      <wp:wrapNone/>
                      <wp:docPr id="157" name="Frame1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8"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59"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45465" cy="175260"/>
                      <wp:effectExtent l="0" t="0" r="0" b="0"/>
                      <wp:wrapNone/>
                      <wp:docPr id="160" name="Frame15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1"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93040" cy="175260"/>
                      <wp:effectExtent l="0" t="0" r="0" b="0"/>
                      <wp:wrapNone/>
                      <wp:docPr id="162" name="Frame15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79120" cy="175260"/>
                      <wp:effectExtent l="0" t="0" r="0" b="0"/>
                      <wp:wrapNone/>
                      <wp:docPr id="163" name="Frame159"/>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4"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5"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08635" cy="175260"/>
                      <wp:effectExtent l="0" t="0" r="0" b="0"/>
                      <wp:wrapNone/>
                      <wp:docPr id="166" name="Frame162"/>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25"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center"/>
              <w:rPr/>
            </w:pPr>
            <w:r>
              <w:rPr/>
              <w:t>​</w:t>
            </w:r>
          </w:p>
        </w:tc>
      </w:tr>
      <w:tr>
        <w:trPr/>
        <w:tc>
          <w:tcPr>
            <w:tcW w:w="24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25"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center"/>
              <w:rPr/>
            </w:pPr>
            <w:r>
              <w:rPr/>
              <w:t>​</w:t>
            </w:r>
          </w:p>
        </w:tc>
      </w:tr>
      <w:tr>
        <w:trPr/>
        <w:tc>
          <w:tcPr>
            <w:tcW w:w="24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2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center"/>
              <w:rPr/>
            </w:pPr>
            <w:r>
              <w:rPr/>
              <w:t>​</w:t>
            </w:r>
          </w:p>
        </w:tc>
      </w:tr>
      <w:tr>
        <w:trPr/>
        <w:tc>
          <w:tcPr>
            <w:tcW w:w="24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34"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6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2022</w:t>
            </w:r>
          </w:p>
        </w:tc>
        <w:tc>
          <w:tcPr>
            <w:tcW w:w="326"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75,570</w:t>
            </w:r>
          </w:p>
        </w:tc>
        <w:tc>
          <w:tcPr>
            <w:tcW w:w="3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(137,035)</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11,256</w:t>
            </w:r>
          </w:p>
        </w:tc>
      </w:tr>
      <w:tr>
        <w:trPr/>
        <w:tc>
          <w:tcPr>
            <w:tcW w:w="2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under equity line of credit</w:t>
            </w:r>
          </w:p>
        </w:tc>
        <w:tc>
          <w:tcPr>
            <w:tcW w:w="326"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7,827</w:t>
            </w:r>
          </w:p>
        </w:tc>
        <w:tc>
          <w:tcPr>
            <w:tcW w:w="3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r>
      <w:tr>
        <w:trPr/>
        <w:tc>
          <w:tcPr>
            <w:tcW w:w="2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public offering</w:t>
            </w:r>
          </w:p>
        </w:tc>
        <w:tc>
          <w:tcPr>
            <w:tcW w:w="326"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480,000</w:t>
            </w:r>
          </w:p>
        </w:tc>
        <w:tc>
          <w:tcPr>
            <w:tcW w:w="3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r>
      <w:tr>
        <w:trPr/>
        <w:tc>
          <w:tcPr>
            <w:tcW w:w="2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2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r>
      <w:tr>
        <w:trPr/>
        <w:tc>
          <w:tcPr>
            <w:tcW w:w="2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26"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34"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r>
      <w:tr>
        <w:trPr/>
        <w:tc>
          <w:tcPr>
            <w:tcW w:w="2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for services</w:t>
            </w:r>
          </w:p>
        </w:tc>
        <w:tc>
          <w:tcPr>
            <w:tcW w:w="32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34"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34"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r>
      <w:tr>
        <w:trPr/>
        <w:tc>
          <w:tcPr>
            <w:tcW w:w="2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gain</w:t>
            </w:r>
          </w:p>
        </w:tc>
        <w:tc>
          <w:tcPr>
            <w:tcW w:w="32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2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34"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(14,072)</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(14,072)</w:t>
            </w:r>
          </w:p>
        </w:tc>
      </w:tr>
      <w:tr>
        <w:trPr/>
        <w:tc>
          <w:tcPr>
            <w:tcW w:w="2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vAlign w:val="center"/>
          </w:tcPr>
          <w:p>
            <w:pPr>
              <w:pStyle w:val="TableContents"/>
              <w:bidi w:val="0"/>
              <w:spacing w:before="0" w:after="0"/>
              <w:ind w:left="0" w:right="0" w:hanging="0"/>
              <w:jc w:val="left"/>
              <w:rPr/>
            </w:pPr>
            <w:r>
              <w:rPr/>
              <w:t> </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564,094</w:t>
            </w:r>
          </w:p>
        </w:tc>
        <w:tc>
          <w:tcPr>
            <w:tcW w:w="334"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(151,107)</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8,151</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32" w:name="Tc_gvAxMdQx_kOAtMttUPGf7w_13_16"/>
      <w:bookmarkStart w:id="433" w:name="Tc_w8yXd-SNy0aH0W5w_lWLaQ_13_13"/>
      <w:bookmarkStart w:id="434" w:name="Tc_T0I_EBevtUKhzg2SzMnGUg_13_10"/>
      <w:bookmarkStart w:id="435" w:name="Tc_7SI6evBpJEGqQ4LioYOL6Q_13_7"/>
      <w:bookmarkStart w:id="436" w:name="Tc_H3Avo7JC_Ei3f1TbaOk24w_13_4"/>
      <w:bookmarkStart w:id="437" w:name="Tc_4gWbqJ_b5021voOdgkqiLw_13_0"/>
      <w:bookmarkStart w:id="438" w:name="Tc_JYWLGXXuQEiB6WNpFV2tRA_12_14"/>
      <w:bookmarkStart w:id="439" w:name="Tc_oO9NREeM-U6tMGtaJ57dtg_12_8"/>
      <w:bookmarkStart w:id="440" w:name="Tc_sl3uPjCvhkqR6m9yHv6Hnw_12_5"/>
      <w:bookmarkStart w:id="441" w:name="Tc_7d4jsGNIZESVLOdMffRflw_12_2"/>
      <w:bookmarkStart w:id="442" w:name="Tc_onKRbvR7VUeoueGSGfzkYw_12_0"/>
      <w:bookmarkStart w:id="443" w:name="Tc_OdT_cW-ZgkSdNQ-HTlv_JA_11_11"/>
      <w:bookmarkStart w:id="444" w:name="Tc_4wUXQPRJT0eG5VMklUuZmQ_11_8"/>
      <w:bookmarkStart w:id="445" w:name="Tc_D4umkVC7r0urJyGyXA4Q-w_11_5"/>
      <w:bookmarkStart w:id="446" w:name="Tc_KQF2bgfpgUeh9H0dXiHD7w_11_2"/>
      <w:bookmarkStart w:id="447" w:name="Tc_A2nXcJ7tZkyrfGc149oaSg_11_0"/>
      <w:bookmarkStart w:id="448" w:name="Tc_5X6_PrVjOkOgQBS5cahOKA_10_14"/>
      <w:bookmarkStart w:id="449" w:name="Tc_a1aIXjeR102CA2P2FeLJ7Q_10_11"/>
      <w:bookmarkStart w:id="450" w:name="Tc_rMZpB9jdVUGRRVJPfVVKYA_10_5"/>
      <w:bookmarkStart w:id="451" w:name="Tc_Ic63WyuWwkGxVyuRE0EKdw_10_2"/>
      <w:bookmarkStart w:id="452" w:name="Tc_zfP1L0NIMUOO2HeuOyS3YA_10_0"/>
      <w:bookmarkStart w:id="453" w:name="Tc_5JdSVxQmi0qtkGwUbQubhw_9_17"/>
      <w:bookmarkStart w:id="454" w:name="Tc_ca2r2C1UV0SPUrx-3P6lOw_9_14"/>
      <w:bookmarkStart w:id="455" w:name="Tc_LqpQksn9PUGqj--aLWXXvQ_9_11"/>
      <w:bookmarkStart w:id="456" w:name="Tc_IPpbCLlUkECD3pqJzW3uBQ_9_8"/>
      <w:bookmarkStart w:id="457" w:name="Tc_UF4dZGVULkqBdH8ga8Io5g_9_5"/>
      <w:bookmarkStart w:id="458" w:name="Tc_0tnRPo5MXU-GuEVcrjxIdw_9_0"/>
      <w:bookmarkStart w:id="459" w:name="Tc_7Is5upv2pkeTGkp0aqtR3w_8_14"/>
      <w:bookmarkStart w:id="460" w:name="Tc_eqFcNBKo-UWrEL24h0rzKQ_8_11"/>
      <w:bookmarkStart w:id="461" w:name="Tc_2aE0iqPyJkqLJ8WU7FQTcQ_8_5"/>
      <w:bookmarkStart w:id="462" w:name="Tc_gqpRQgQMFE6xWC4ipSuttQ_8_0"/>
      <w:bookmarkStart w:id="463" w:name="Tc_oIhfrTrUskuxhIh6wYaNbg_7_14"/>
      <w:bookmarkStart w:id="464" w:name="Tc_9Hw8TRU1jk6wItRxkz3vLg_7_11"/>
      <w:bookmarkStart w:id="465" w:name="Tc_Iyqd_XQubUyqC9w6AsrpRw_7_5"/>
      <w:bookmarkStart w:id="466" w:name="Tc_GJmlkTGRv0iDiTniakZlQw_7_2"/>
      <w:bookmarkStart w:id="467" w:name="Tc_M-JHZqmLVEGQmrDbJwuC1w_7_0"/>
      <w:bookmarkStart w:id="468" w:name="Tc_NYzEptoxikG4ElQXD1njTw_6_14"/>
      <w:bookmarkStart w:id="469" w:name="Tc_ht0UBdsrtEKlxsHSfig5jA_6_11"/>
      <w:bookmarkStart w:id="470" w:name="Tc_5dR8OY1LfUyp2Y-TPRN4Dg_6_5"/>
      <w:bookmarkStart w:id="471" w:name="Tc_yldvd_Zu_Ume7lJdQ5Mxqw_6_0"/>
      <w:bookmarkStart w:id="472" w:name="Tc_VFODsQIN9kKioXo0xTlb0A_5_16"/>
      <w:bookmarkStart w:id="473" w:name="Tc_Jqx8WqSu2UK7djvivbFz-A_5_13"/>
      <w:bookmarkStart w:id="474" w:name="Tc_EAunUqNuq0qmwReAOrRGWw_5_10"/>
      <w:bookmarkStart w:id="475" w:name="Tc_PWSvuOt4oU6bUZMb7y4fbA_5_7"/>
      <w:bookmarkStart w:id="476" w:name="Tc_qmLD35mRd0iRTiNEFdZrtw_5_4"/>
      <w:bookmarkStart w:id="477" w:name="Tc_8BeGGUWDL0-QdI4oc-9JVg_5_0"/>
      <w:bookmarkStart w:id="478" w:name="Tc_yP77KRJUcUK5pa-w92veVA_4_16"/>
      <w:bookmarkStart w:id="479" w:name="Tc_I4JlzZbDh0mu_mVWKy_2jg_4_13"/>
      <w:bookmarkStart w:id="480" w:name="Tc_BbUrphgYo0-452O2I8TrlA_4_10"/>
      <w:bookmarkStart w:id="481" w:name="Tc_8fYQWwqo3k-SSIBwBsupuw_4_7"/>
      <w:bookmarkStart w:id="482" w:name="Tc_WZhlE3brCkSGLpiItmNh8Q_4_4"/>
      <w:bookmarkStart w:id="483" w:name="Tc_AlvDeFNplkSy1q00yiykTQ_4_2"/>
      <w:bookmarkStart w:id="484" w:name="Tc_gNb7-8kU4E6cFw_jSnhweg_3_13"/>
      <w:bookmarkStart w:id="485" w:name="Tc_PhMbYbE0uUifKWL9LLFXgA_3_10"/>
      <w:bookmarkStart w:id="486" w:name="Tc_dSrZS3mppUK_MSMEnHB6dg_3_7"/>
      <w:bookmarkStart w:id="487" w:name="Tc__hSlAtmNA0CMplhWd96hBQ_3_2"/>
      <w:bookmarkStart w:id="488" w:name="Tc_KzXs_x81mUi6Kh_dSb6KwA_2_13"/>
      <w:bookmarkStart w:id="489" w:name="Tc_BawI95g5-U--5XLxC9kFnw_2_7"/>
      <w:bookmarkStart w:id="490" w:name="Tc_E4KFRnwUrUWzMZudk6PY9w_1_13"/>
      <w:bookmarkStart w:id="491" w:name="_fc78ca71_6dd1_4292_8b80_5671ca8d8a4e"/>
      <w:bookmarkStart w:id="492" w:name="Tc_gvAxMdQx_kOAtMttUPGf7w_13_16"/>
      <w:bookmarkStart w:id="493" w:name="Tc_w8yXd-SNy0aH0W5w_lWLaQ_13_13"/>
      <w:bookmarkStart w:id="494" w:name="Tc_T0I_EBevtUKhzg2SzMnGUg_13_10"/>
      <w:bookmarkStart w:id="495" w:name="Tc_7SI6evBpJEGqQ4LioYOL6Q_13_7"/>
      <w:bookmarkStart w:id="496" w:name="Tc_H3Avo7JC_Ei3f1TbaOk24w_13_4"/>
      <w:bookmarkStart w:id="497" w:name="Tc_4gWbqJ_b5021voOdgkqiLw_13_0"/>
      <w:bookmarkStart w:id="498" w:name="Tc_JYWLGXXuQEiB6WNpFV2tRA_12_14"/>
      <w:bookmarkStart w:id="499" w:name="Tc_oO9NREeM-U6tMGtaJ57dtg_12_8"/>
      <w:bookmarkStart w:id="500" w:name="Tc_sl3uPjCvhkqR6m9yHv6Hnw_12_5"/>
      <w:bookmarkStart w:id="501" w:name="Tc_7d4jsGNIZESVLOdMffRflw_12_2"/>
      <w:bookmarkStart w:id="502" w:name="Tc_onKRbvR7VUeoueGSGfzkYw_12_0"/>
      <w:bookmarkStart w:id="503" w:name="Tc_OdT_cW-ZgkSdNQ-HTlv_JA_11_11"/>
      <w:bookmarkStart w:id="504" w:name="Tc_4wUXQPRJT0eG5VMklUuZmQ_11_8"/>
      <w:bookmarkStart w:id="505" w:name="Tc_D4umkVC7r0urJyGyXA4Q-w_11_5"/>
      <w:bookmarkStart w:id="506" w:name="Tc_KQF2bgfpgUeh9H0dXiHD7w_11_2"/>
      <w:bookmarkStart w:id="507" w:name="Tc_A2nXcJ7tZkyrfGc149oaSg_11_0"/>
      <w:bookmarkStart w:id="508" w:name="Tc_5X6_PrVjOkOgQBS5cahOKA_10_14"/>
      <w:bookmarkStart w:id="509" w:name="Tc_a1aIXjeR102CA2P2FeLJ7Q_10_11"/>
      <w:bookmarkStart w:id="510" w:name="Tc_rMZpB9jdVUGRRVJPfVVKYA_10_5"/>
      <w:bookmarkStart w:id="511" w:name="Tc_Ic63WyuWwkGxVyuRE0EKdw_10_2"/>
      <w:bookmarkStart w:id="512" w:name="Tc_zfP1L0NIMUOO2HeuOyS3YA_10_0"/>
      <w:bookmarkStart w:id="513" w:name="Tc_5JdSVxQmi0qtkGwUbQubhw_9_17"/>
      <w:bookmarkStart w:id="514" w:name="Tc_ca2r2C1UV0SPUrx-3P6lOw_9_14"/>
      <w:bookmarkStart w:id="515" w:name="Tc_LqpQksn9PUGqj--aLWXXvQ_9_11"/>
      <w:bookmarkStart w:id="516" w:name="Tc_IPpbCLlUkECD3pqJzW3uBQ_9_8"/>
      <w:bookmarkStart w:id="517" w:name="Tc_UF4dZGVULkqBdH8ga8Io5g_9_5"/>
      <w:bookmarkStart w:id="518" w:name="Tc_0tnRPo5MXU-GuEVcrjxIdw_9_0"/>
      <w:bookmarkStart w:id="519" w:name="Tc_7Is5upv2pkeTGkp0aqtR3w_8_14"/>
      <w:bookmarkStart w:id="520" w:name="Tc_eqFcNBKo-UWrEL24h0rzKQ_8_11"/>
      <w:bookmarkStart w:id="521" w:name="Tc_2aE0iqPyJkqLJ8WU7FQTcQ_8_5"/>
      <w:bookmarkStart w:id="522" w:name="Tc_gqpRQgQMFE6xWC4ipSuttQ_8_0"/>
      <w:bookmarkStart w:id="523" w:name="Tc_oIhfrTrUskuxhIh6wYaNbg_7_14"/>
      <w:bookmarkStart w:id="524" w:name="Tc_9Hw8TRU1jk6wItRxkz3vLg_7_11"/>
      <w:bookmarkStart w:id="525" w:name="Tc_Iyqd_XQubUyqC9w6AsrpRw_7_5"/>
      <w:bookmarkStart w:id="526" w:name="Tc_GJmlkTGRv0iDiTniakZlQw_7_2"/>
      <w:bookmarkStart w:id="527" w:name="Tc_M-JHZqmLVEGQmrDbJwuC1w_7_0"/>
      <w:bookmarkStart w:id="528" w:name="Tc_NYzEptoxikG4ElQXD1njTw_6_14"/>
      <w:bookmarkStart w:id="529" w:name="Tc_ht0UBdsrtEKlxsHSfig5jA_6_11"/>
      <w:bookmarkStart w:id="530" w:name="Tc_5dR8OY1LfUyp2Y-TPRN4Dg_6_5"/>
      <w:bookmarkStart w:id="531" w:name="Tc_yldvd_Zu_Ume7lJdQ5Mxqw_6_0"/>
      <w:bookmarkStart w:id="532" w:name="Tc_VFODsQIN9kKioXo0xTlb0A_5_16"/>
      <w:bookmarkStart w:id="533" w:name="Tc_Jqx8WqSu2UK7djvivbFz-A_5_13"/>
      <w:bookmarkStart w:id="534" w:name="Tc_EAunUqNuq0qmwReAOrRGWw_5_10"/>
      <w:bookmarkStart w:id="535" w:name="Tc_PWSvuOt4oU6bUZMb7y4fbA_5_7"/>
      <w:bookmarkStart w:id="536" w:name="Tc_qmLD35mRd0iRTiNEFdZrtw_5_4"/>
      <w:bookmarkStart w:id="537" w:name="Tc_8BeGGUWDL0-QdI4oc-9JVg_5_0"/>
      <w:bookmarkStart w:id="538" w:name="Tc_yP77KRJUcUK5pa-w92veVA_4_16"/>
      <w:bookmarkStart w:id="539" w:name="Tc_I4JlzZbDh0mu_mVWKy_2jg_4_13"/>
      <w:bookmarkStart w:id="540" w:name="Tc_BbUrphgYo0-452O2I8TrlA_4_10"/>
      <w:bookmarkStart w:id="541" w:name="Tc_8fYQWwqo3k-SSIBwBsupuw_4_7"/>
      <w:bookmarkStart w:id="542" w:name="Tc_WZhlE3brCkSGLpiItmNh8Q_4_4"/>
      <w:bookmarkStart w:id="543" w:name="Tc_AlvDeFNplkSy1q00yiykTQ_4_2"/>
      <w:bookmarkStart w:id="544" w:name="Tc_gNb7-8kU4E6cFw_jSnhweg_3_13"/>
      <w:bookmarkStart w:id="545" w:name="Tc_PhMbYbE0uUifKWL9LLFXgA_3_10"/>
      <w:bookmarkStart w:id="546" w:name="Tc_dSrZS3mppUK_MSMEnHB6dg_3_7"/>
      <w:bookmarkStart w:id="547" w:name="Tc__hSlAtmNA0CMplhWd96hBQ_3_2"/>
      <w:bookmarkStart w:id="548" w:name="Tc_KzXs_x81mUi6Kh_dSb6KwA_2_13"/>
      <w:bookmarkStart w:id="549" w:name="Tc_BawI95g5-U--5XLxC9kFnw_2_7"/>
      <w:bookmarkStart w:id="550" w:name="Tc_E4KFRnwUrUWzMZudk6PY9w_1_13"/>
      <w:bookmarkStart w:id="551" w:name="_fc78ca71_6dd1_4292_8b80_5671ca8d8a4e"/>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tbl>
      <w:tblPr>
        <w:tblW w:w="10205" w:type="dxa"/>
        <w:jc w:val="left"/>
        <w:tblInd w:w="0" w:type="dxa"/>
        <w:tblLayout w:type="fixed"/>
        <w:tblCellMar>
          <w:top w:w="0" w:type="dxa"/>
          <w:left w:w="0" w:type="dxa"/>
          <w:bottom w:w="0" w:type="dxa"/>
          <w:right w:w="0" w:type="dxa"/>
        </w:tblCellMar>
      </w:tblPr>
      <w:tblGrid>
        <w:gridCol w:w="2544"/>
        <w:gridCol w:w="326"/>
        <w:gridCol w:w="806"/>
        <w:gridCol w:w="336"/>
        <w:gridCol w:w="261"/>
        <w:gridCol w:w="430"/>
        <w:gridCol w:w="326"/>
        <w:gridCol w:w="211"/>
        <w:gridCol w:w="781"/>
        <w:gridCol w:w="326"/>
        <w:gridCol w:w="211"/>
        <w:gridCol w:w="865"/>
        <w:gridCol w:w="326"/>
        <w:gridCol w:w="370"/>
        <w:gridCol w:w="846"/>
        <w:gridCol w:w="326"/>
        <w:gridCol w:w="211"/>
        <w:gridCol w:w="703"/>
      </w:tblGrid>
      <w:tr>
        <w:trPr/>
        <w:tc>
          <w:tcPr>
            <w:tcW w:w="2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615440" cy="175260"/>
                      <wp:effectExtent l="0" t="0" r="0" b="0"/>
                      <wp:wrapNone/>
                      <wp:docPr id="167" name="Frame163"/>
                      <a:graphic xmlns:a="http://schemas.openxmlformats.org/drawingml/2006/main">
                        <a:graphicData uri="http://schemas.microsoft.com/office/word/2010/wordprocessingShape">
                          <wps:wsp>
                            <wps:cNvSpPr txBox="1"/>
                            <wps:spPr>
                              <a:xfrm>
                                <a:off x="0" y="0"/>
                                <a:ext cx="161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8"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11810" cy="175260"/>
                      <wp:effectExtent l="0" t="0" r="0" b="0"/>
                      <wp:wrapNone/>
                      <wp:docPr id="169" name="Frame165"/>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3360" cy="175260"/>
                      <wp:effectExtent l="0" t="0" r="0" b="0"/>
                      <wp:wrapNone/>
                      <wp:docPr id="170" name="Frame166"/>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65735" cy="175260"/>
                      <wp:effectExtent l="0" t="0" r="0" b="0"/>
                      <wp:wrapNone/>
                      <wp:docPr id="171" name="Frame16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73050" cy="175260"/>
                      <wp:effectExtent l="0" t="0" r="0" b="0"/>
                      <wp:wrapNone/>
                      <wp:docPr id="172" name="Frame168"/>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3"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4"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5935" cy="175260"/>
                      <wp:effectExtent l="0" t="0" r="0" b="0"/>
                      <wp:wrapNone/>
                      <wp:docPr id="175" name="Frame1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6"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7"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49275" cy="175260"/>
                      <wp:effectExtent l="0" t="0" r="0" b="0"/>
                      <wp:wrapNone/>
                      <wp:docPr id="178" name="Frame174"/>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79"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34950" cy="175260"/>
                      <wp:effectExtent l="0" t="0" r="0" b="0"/>
                      <wp:wrapNone/>
                      <wp:docPr id="180" name="Frame176"/>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37210" cy="175260"/>
                      <wp:effectExtent l="0" t="0" r="0" b="0"/>
                      <wp:wrapNone/>
                      <wp:docPr id="181" name="Frame177"/>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2"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3"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46405" cy="175260"/>
                      <wp:effectExtent l="0" t="0" r="0" b="0"/>
                      <wp:wrapNone/>
                      <wp:docPr id="184" name="Frame180"/>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center"/>
              <w:rPr/>
            </w:pPr>
            <w:r>
              <w:rPr/>
              <w:t>​</w:t>
            </w:r>
          </w:p>
        </w:tc>
        <w:tc>
          <w:tcPr>
            <w:tcW w:w="33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center"/>
              <w:rPr/>
            </w:pPr>
            <w:r>
              <w:rPr/>
              <w:t>​</w:t>
            </w:r>
          </w:p>
        </w:tc>
      </w:tr>
      <w:tr>
        <w:trPr/>
        <w:tc>
          <w:tcPr>
            <w:tcW w:w="25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33" w:type="dxa"/>
            <w:gridSpan w:val="4"/>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center"/>
              <w:rPr/>
            </w:pPr>
            <w:r>
              <w:rPr/>
              <w:t>​</w:t>
            </w:r>
          </w:p>
        </w:tc>
      </w:tr>
      <w:tr>
        <w:trPr/>
        <w:tc>
          <w:tcPr>
            <w:tcW w:w="25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center"/>
              <w:rPr/>
            </w:pPr>
            <w:r>
              <w:rPr/>
              <w:t>​</w:t>
            </w:r>
          </w:p>
        </w:tc>
      </w:tr>
      <w:tr>
        <w:trPr/>
        <w:tc>
          <w:tcPr>
            <w:tcW w:w="25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3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1"/>
              <w:ind w:left="0" w:right="0" w:hanging="0"/>
              <w:jc w:val="left"/>
              <w:rPr/>
            </w:pPr>
            <w:r>
              <w:rPr/>
              <w:t>    </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4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January 1, 2023</w:t>
            </w:r>
          </w:p>
        </w:tc>
        <w:tc>
          <w:tcPr>
            <w:tcW w:w="326" w:type="dxa"/>
            <w:tcBorders/>
            <w:shd w:fill="CCEEFF" w:val="clear"/>
            <w:vAlign w:val="center"/>
          </w:tcPr>
          <w:p>
            <w:pPr>
              <w:pStyle w:val="TableContents"/>
              <w:bidi w:val="0"/>
              <w:spacing w:before="0" w:after="1"/>
              <w:ind w:left="0" w:right="0" w:hanging="0"/>
              <w:jc w:val="righ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564,094</w:t>
            </w:r>
          </w:p>
        </w:tc>
        <w:tc>
          <w:tcPr>
            <w:tcW w:w="33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(151,107)</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8,151</w:t>
            </w:r>
          </w:p>
        </w:tc>
      </w:tr>
      <w:tr>
        <w:trPr/>
        <w:tc>
          <w:tcPr>
            <w:tcW w:w="25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in public offering</w:t>
            </w:r>
          </w:p>
        </w:tc>
        <w:tc>
          <w:tcPr>
            <w:tcW w:w="326" w:type="dxa"/>
            <w:tcBorders/>
            <w:vAlign w:val="center"/>
          </w:tcPr>
          <w:p>
            <w:pPr>
              <w:pStyle w:val="TableContents"/>
              <w:bidi w:val="0"/>
              <w:spacing w:before="0" w:after="1"/>
              <w:ind w:left="0" w:right="0" w:hanging="0"/>
              <w:jc w:val="righ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53,010</w:t>
            </w:r>
          </w:p>
        </w:tc>
        <w:tc>
          <w:tcPr>
            <w:tcW w:w="33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25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26" w:type="dxa"/>
            <w:tcBorders/>
            <w:shd w:fill="CCEEFF" w:val="clear"/>
            <w:vAlign w:val="center"/>
          </w:tcPr>
          <w:p>
            <w:pPr>
              <w:pStyle w:val="TableContents"/>
              <w:bidi w:val="0"/>
              <w:spacing w:before="0" w:after="1"/>
              <w:ind w:left="0" w:right="0" w:hanging="0"/>
              <w:jc w:val="right"/>
              <w:rPr/>
            </w:pPr>
            <w:r>
              <w:rPr/>
              <w:t> </w:t>
            </w:r>
          </w:p>
        </w:tc>
        <w:tc>
          <w:tcPr>
            <w:tcW w:w="806" w:type="dxa"/>
            <w:tcBorders/>
            <w:shd w:fill="CCEEFF" w:val="cle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25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of warrants</w:t>
            </w:r>
          </w:p>
        </w:tc>
        <w:tc>
          <w:tcPr>
            <w:tcW w:w="326" w:type="dxa"/>
            <w:tcBorders/>
            <w:vAlign w:val="center"/>
          </w:tcPr>
          <w:p>
            <w:pPr>
              <w:pStyle w:val="TableContents"/>
              <w:bidi w:val="0"/>
              <w:spacing w:before="0" w:after="1"/>
              <w:ind w:left="0" w:right="0" w:hanging="0"/>
              <w:jc w:val="right"/>
              <w:rPr/>
            </w:pPr>
            <w:r>
              <w:rPr/>
              <w:t> </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92,910</w:t>
            </w:r>
          </w:p>
        </w:tc>
        <w:tc>
          <w:tcPr>
            <w:tcW w:w="33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r>
      <w:tr>
        <w:trPr/>
        <w:tc>
          <w:tcPr>
            <w:tcW w:w="25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26" w:type="dxa"/>
            <w:tcBorders/>
            <w:shd w:fill="CCEEFF" w:val="clear"/>
            <w:vAlign w:val="center"/>
          </w:tcPr>
          <w:p>
            <w:pPr>
              <w:pStyle w:val="TableContents"/>
              <w:bidi w:val="0"/>
              <w:spacing w:before="0" w:after="1"/>
              <w:ind w:left="0" w:right="0" w:hanging="0"/>
              <w:jc w:val="right"/>
              <w:rPr/>
            </w:pPr>
            <w:r>
              <w:rPr/>
              <w:t> </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4,576</w:t>
            </w:r>
          </w:p>
        </w:tc>
        <w:tc>
          <w:tcPr>
            <w:tcW w:w="33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pPr>
            <w:r>
              <w:rPr/>
              <w:t>—</w:t>
            </w:r>
          </w:p>
        </w:tc>
      </w:tr>
      <w:tr>
        <w:trPr/>
        <w:tc>
          <w:tcPr>
            <w:tcW w:w="25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right"/>
              <w:rPr/>
            </w:pPr>
            <w:r>
              <w:rPr/>
              <w:t> </w:t>
            </w:r>
          </w:p>
        </w:tc>
        <w:tc>
          <w:tcPr>
            <w:tcW w:w="806"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1,629</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1,629</w:t>
            </w:r>
          </w:p>
        </w:tc>
      </w:tr>
      <w:tr>
        <w:trPr/>
        <w:tc>
          <w:tcPr>
            <w:tcW w:w="25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1"/>
              <w:ind w:left="0" w:right="0" w:hanging="0"/>
              <w:jc w:val="right"/>
              <w:rPr/>
            </w:pPr>
            <w:r>
              <w:rPr/>
              <w:t> </w:t>
            </w:r>
          </w:p>
        </w:tc>
        <w:tc>
          <w:tcPr>
            <w:tcW w:w="806" w:type="dxa"/>
            <w:tcBorders/>
            <w:shd w:fill="CCEEFF" w:val="cle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25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right"/>
              <w:rPr/>
            </w:pPr>
            <w:r>
              <w:rPr/>
              <w:t>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(8,850)</w:t>
            </w:r>
          </w:p>
        </w:tc>
        <w:tc>
          <w:tcPr>
            <w:tcW w:w="326" w:type="dxa"/>
            <w:tcBorders/>
            <w:vAlign w:val="center"/>
          </w:tcPr>
          <w:p>
            <w:pPr>
              <w:pStyle w:val="TableContents"/>
              <w:bidi w:val="0"/>
              <w:spacing w:before="0" w:after="1"/>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(8,850)</w:t>
            </w:r>
          </w:p>
        </w:tc>
      </w:tr>
      <w:tr>
        <w:trPr/>
        <w:tc>
          <w:tcPr>
            <w:tcW w:w="254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714,590</w:t>
            </w:r>
          </w:p>
        </w:tc>
        <w:tc>
          <w:tcPr>
            <w:tcW w:w="33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162,979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(159,957)</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2,350</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52" w:name="_4fa5ea4b_e05f_4806_8042_0b3d6d32c2b2"/>
      <w:bookmarkEnd w:id="552"/>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553" w:name="ConsolidatedStatementsofCashFlows_512514"/>
      <w:bookmarkEnd w:id="553"/>
      <w:r>
        <w:rPr>
          <w:rFonts w:ascii="Times New Roman;Times;serif" w:hAnsi="Times New Roman;Times;serif"/>
          <w:b/>
          <w:sz w:val="20"/>
        </w:rPr>
        <w:t>Consolidated Statements of 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4" w:name="Tc__A5UMikbFEeFCAnGK02KgQ_44_6"/>
      <w:bookmarkStart w:id="555" w:name="Tc_GUhe5Iph-ki5G1z2w8JP7g_44_5"/>
      <w:bookmarkStart w:id="556" w:name="Tc_sa_JbfBdY0GtPPTR8Xk8Lw_44_2"/>
      <w:bookmarkStart w:id="557" w:name="Tc_iwtd-lLik0a-OCazSSU4Pw_44_0"/>
      <w:bookmarkStart w:id="558" w:name="Tc_BJktOVKiakSu1Avt3LDy_w_43_5"/>
      <w:bookmarkStart w:id="559" w:name="Tc_dqrHt9pl7kuST9SuFRlAvQ_43_3"/>
      <w:bookmarkStart w:id="560" w:name="Tc_ZxrWgNwhukqthh4ldzX8Uw_43_2"/>
      <w:bookmarkStart w:id="561" w:name="Tc_HzV7jHdIAEu8QTWtA38pOQ_43_0"/>
      <w:bookmarkStart w:id="562" w:name="Tc_AqaiLsHC5UGXnvOWWOiGRA_42_0"/>
      <w:bookmarkStart w:id="563" w:name="Tc_mCqxJpog2UOsDOSoILH3NQ_41_5"/>
      <w:bookmarkStart w:id="564" w:name="Tc_4pSOZRJRr0uD8g-ru2JFVA_41_3"/>
      <w:bookmarkStart w:id="565" w:name="Tc_SXM2Y7O5SkSsDrm4zykGzQ_41_2"/>
      <w:bookmarkStart w:id="566" w:name="Tc_Wg-Gt5RjSUSm1hmisXcjcw_41_0"/>
      <w:bookmarkStart w:id="567" w:name="Tc_m3JUJJoJpkaxtgSlNbDQrg_40_0"/>
      <w:bookmarkStart w:id="568" w:name="Tc_QXSA5gtZqUSW9af3foYYAA_39_5"/>
      <w:bookmarkStart w:id="569" w:name="Tc_la-r9QiunESRQWItTRa66A_39_2"/>
      <w:bookmarkStart w:id="570" w:name="Tc_3pn96Hve5Ei24ydt1Eqbbg_39_0"/>
      <w:bookmarkStart w:id="571" w:name="Tc_8N9Xch2jFECAjyk7Xc66gw_38_0"/>
      <w:bookmarkStart w:id="572" w:name="Tc_rIeAVjdfUUSqq7ieiA3xFA_37_0"/>
      <w:bookmarkStart w:id="573" w:name="Tc_KjzWmQsQZ0ScDfJMJ_mfOw_36_0"/>
      <w:bookmarkStart w:id="574" w:name="Tc_73FV2JOZJ0i7sTHzkHdhpg_35_0"/>
      <w:bookmarkStart w:id="575" w:name="Tc_4TwlqhBvB0K2jRijY6Ta3A_34_0"/>
      <w:bookmarkStart w:id="576" w:name="Tc_dqn6Krf0G0agWzSzioXwwg_33_6"/>
      <w:bookmarkStart w:id="577" w:name="Tc_N_rg-3ohekCMvVPCMz3nhg_33_0"/>
      <w:bookmarkStart w:id="578" w:name="Tc_MCoXfO_Ac0K9rHL28nV7qA_32_0"/>
      <w:bookmarkStart w:id="579" w:name="Tc_Jcmo0jaVGEusAZ3KWeJoMQ_31_0"/>
      <w:bookmarkStart w:id="580" w:name="Tc_6-W4CJXpkUa9ed9q7PAXVw_30_0"/>
      <w:bookmarkStart w:id="581" w:name="Tc_ptvY9VTFqUa-_jUi_Qn0EA_29_3"/>
      <w:bookmarkStart w:id="582" w:name="Tc_8kctl4brIUSf8HZm48FraQ_29_0"/>
      <w:bookmarkStart w:id="583" w:name="Tc_RH80Ee9LwUypee8FABHDcw_28_0"/>
      <w:bookmarkStart w:id="584" w:name="Tc_JhzuaZRTZ0is-C1TlTvqNg_27_0"/>
      <w:bookmarkStart w:id="585" w:name="Tc_rM4pkmUo5kaOgCZ43CUQzg_26_0"/>
      <w:bookmarkStart w:id="586" w:name="Tc_h8GPT3pbQ0qwUek1T2teog_25_0"/>
      <w:bookmarkStart w:id="587" w:name="Tc_PoZhrhklUkm4N4swqjIA2Q_24_0"/>
      <w:bookmarkStart w:id="588" w:name="Tc_YzL8MPBwM0egkElQhrD91Q_23_0"/>
      <w:bookmarkStart w:id="589" w:name="Tc_IltTQ4elv0mob2G0JZNzoA_22_0"/>
      <w:bookmarkStart w:id="590" w:name="Tc_Wcev8ZiqM0muhh-NHCjgAg_21_0"/>
      <w:bookmarkStart w:id="591" w:name="Tc_UWD8KWPrHEuUlQxKa7e5Kg_20_0"/>
      <w:bookmarkStart w:id="592" w:name="Tc_o_1naH1kqUSQIMSkeoiTxw_19_0"/>
      <w:bookmarkStart w:id="593" w:name="Tc_q5M_U7sYyEuMTaSY8ofcKA_18_0"/>
      <w:bookmarkStart w:id="594" w:name="Tc_u1UsHyXtR0eajV9ENCLWFQ_17_0"/>
      <w:bookmarkStart w:id="595" w:name="Tc_5oF3HhAbXEm7xZIjMSRYPA_16_0"/>
      <w:bookmarkStart w:id="596" w:name="Tc_hf3Fv7wyMkmfbNTRSPtVHw_15_0"/>
      <w:bookmarkStart w:id="597" w:name="Tc_GlvBVYRK6EqQFBJhHwZJ5A_14_0"/>
      <w:bookmarkStart w:id="598" w:name="Tc_iWJp3zKpN0mKCHHt5qKIBg_13_0"/>
      <w:bookmarkStart w:id="599" w:name="Tc_BpyhZQwOIk-Zg4j_gR59Ow_12_0"/>
      <w:bookmarkStart w:id="600" w:name="Tc__bFGfLFUrUOSdO4lXnoAOg_11_0"/>
      <w:bookmarkStart w:id="601" w:name="Tc_g7gQYsH430yoeieOh_ityg_10_3"/>
      <w:bookmarkStart w:id="602" w:name="Tc_qUZ89M7nRE-ysOaWrLX8pA_10_0"/>
      <w:bookmarkStart w:id="603" w:name="Tc_nck3mvlgM02iic9N51HCAQ_9_0"/>
      <w:bookmarkStart w:id="604" w:name="Tc_Lt15X4XO50aMX-ywXy7Ljw_8_0"/>
      <w:bookmarkStart w:id="605" w:name="Tc_0qzJznWB5kqNRTo9-sye1g_7_0"/>
      <w:bookmarkStart w:id="606" w:name="Tc_-B8ANVYY70-g6Qqitd4e9w_6_5"/>
      <w:bookmarkStart w:id="607" w:name="Tc_lf_6pygGrkCTXHcuOfq9WA_6_2"/>
      <w:bookmarkStart w:id="608" w:name="Tc_EFZNuJGySE-VJ7fGkinRdQ_6_0"/>
      <w:bookmarkStart w:id="609" w:name="Tc_0PoC7pgbXU24wqaLbIORvw_5_0"/>
      <w:bookmarkStart w:id="610" w:name="Tc_9Qcwxy2350Sgddref75W8A_3_5"/>
      <w:bookmarkStart w:id="611" w:name="Tc_iVs6ouvX1kKZuTwrTKpl6Q_3_2"/>
      <w:bookmarkStart w:id="612" w:name="Tc_Quu9gC6UPES4zGSV0li3pg_2_2"/>
      <w:bookmarkStart w:id="613" w:name="Tc_S38CzxcS3kajA9-oXAVVRw_1_2"/>
      <w:bookmarkStart w:id="614" w:name="_67e8c8a4_0b4b_4028_aaf3_2f532c0a73d5"/>
      <w:bookmarkStart w:id="615" w:name="Tc__A5UMikbFEeFCAnGK02KgQ_44_6"/>
      <w:bookmarkStart w:id="616" w:name="Tc_GUhe5Iph-ki5G1z2w8JP7g_44_5"/>
      <w:bookmarkStart w:id="617" w:name="Tc_sa_JbfBdY0GtPPTR8Xk8Lw_44_2"/>
      <w:bookmarkStart w:id="618" w:name="Tc_iwtd-lLik0a-OCazSSU4Pw_44_0"/>
      <w:bookmarkStart w:id="619" w:name="Tc_BJktOVKiakSu1Avt3LDy_w_43_5"/>
      <w:bookmarkStart w:id="620" w:name="Tc_dqrHt9pl7kuST9SuFRlAvQ_43_3"/>
      <w:bookmarkStart w:id="621" w:name="Tc_ZxrWgNwhukqthh4ldzX8Uw_43_2"/>
      <w:bookmarkStart w:id="622" w:name="Tc_HzV7jHdIAEu8QTWtA38pOQ_43_0"/>
      <w:bookmarkStart w:id="623" w:name="Tc_AqaiLsHC5UGXnvOWWOiGRA_42_0"/>
      <w:bookmarkStart w:id="624" w:name="Tc_mCqxJpog2UOsDOSoILH3NQ_41_5"/>
      <w:bookmarkStart w:id="625" w:name="Tc_4pSOZRJRr0uD8g-ru2JFVA_41_3"/>
      <w:bookmarkStart w:id="626" w:name="Tc_SXM2Y7O5SkSsDrm4zykGzQ_41_2"/>
      <w:bookmarkStart w:id="627" w:name="Tc_Wg-Gt5RjSUSm1hmisXcjcw_41_0"/>
      <w:bookmarkStart w:id="628" w:name="Tc_m3JUJJoJpkaxtgSlNbDQrg_40_0"/>
      <w:bookmarkStart w:id="629" w:name="Tc_QXSA5gtZqUSW9af3foYYAA_39_5"/>
      <w:bookmarkStart w:id="630" w:name="Tc_la-r9QiunESRQWItTRa66A_39_2"/>
      <w:bookmarkStart w:id="631" w:name="Tc_3pn96Hve5Ei24ydt1Eqbbg_39_0"/>
      <w:bookmarkStart w:id="632" w:name="Tc_8N9Xch2jFECAjyk7Xc66gw_38_0"/>
      <w:bookmarkStart w:id="633" w:name="Tc_rIeAVjdfUUSqq7ieiA3xFA_37_0"/>
      <w:bookmarkStart w:id="634" w:name="Tc_KjzWmQsQZ0ScDfJMJ_mfOw_36_0"/>
      <w:bookmarkStart w:id="635" w:name="Tc_73FV2JOZJ0i7sTHzkHdhpg_35_0"/>
      <w:bookmarkStart w:id="636" w:name="Tc_4TwlqhBvB0K2jRijY6Ta3A_34_0"/>
      <w:bookmarkStart w:id="637" w:name="Tc_dqn6Krf0G0agWzSzioXwwg_33_6"/>
      <w:bookmarkStart w:id="638" w:name="Tc_N_rg-3ohekCMvVPCMz3nhg_33_0"/>
      <w:bookmarkStart w:id="639" w:name="Tc_MCoXfO_Ac0K9rHL28nV7qA_32_0"/>
      <w:bookmarkStart w:id="640" w:name="Tc_Jcmo0jaVGEusAZ3KWeJoMQ_31_0"/>
      <w:bookmarkStart w:id="641" w:name="Tc_6-W4CJXpkUa9ed9q7PAXVw_30_0"/>
      <w:bookmarkStart w:id="642" w:name="Tc_ptvY9VTFqUa-_jUi_Qn0EA_29_3"/>
      <w:bookmarkStart w:id="643" w:name="Tc_8kctl4brIUSf8HZm48FraQ_29_0"/>
      <w:bookmarkStart w:id="644" w:name="Tc_RH80Ee9LwUypee8FABHDcw_28_0"/>
      <w:bookmarkStart w:id="645" w:name="Tc_JhzuaZRTZ0is-C1TlTvqNg_27_0"/>
      <w:bookmarkStart w:id="646" w:name="Tc_rM4pkmUo5kaOgCZ43CUQzg_26_0"/>
      <w:bookmarkStart w:id="647" w:name="Tc_h8GPT3pbQ0qwUek1T2teog_25_0"/>
      <w:bookmarkStart w:id="648" w:name="Tc_PoZhrhklUkm4N4swqjIA2Q_24_0"/>
      <w:bookmarkStart w:id="649" w:name="Tc_YzL8MPBwM0egkElQhrD91Q_23_0"/>
      <w:bookmarkStart w:id="650" w:name="Tc_IltTQ4elv0mob2G0JZNzoA_22_0"/>
      <w:bookmarkStart w:id="651" w:name="Tc_Wcev8ZiqM0muhh-NHCjgAg_21_0"/>
      <w:bookmarkStart w:id="652" w:name="Tc_UWD8KWPrHEuUlQxKa7e5Kg_20_0"/>
      <w:bookmarkStart w:id="653" w:name="Tc_o_1naH1kqUSQIMSkeoiTxw_19_0"/>
      <w:bookmarkStart w:id="654" w:name="Tc_q5M_U7sYyEuMTaSY8ofcKA_18_0"/>
      <w:bookmarkStart w:id="655" w:name="Tc_u1UsHyXtR0eajV9ENCLWFQ_17_0"/>
      <w:bookmarkStart w:id="656" w:name="Tc_5oF3HhAbXEm7xZIjMSRYPA_16_0"/>
      <w:bookmarkStart w:id="657" w:name="Tc_hf3Fv7wyMkmfbNTRSPtVHw_15_0"/>
      <w:bookmarkStart w:id="658" w:name="Tc_GlvBVYRK6EqQFBJhHwZJ5A_14_0"/>
      <w:bookmarkStart w:id="659" w:name="Tc_iWJp3zKpN0mKCHHt5qKIBg_13_0"/>
      <w:bookmarkStart w:id="660" w:name="Tc_BpyhZQwOIk-Zg4j_gR59Ow_12_0"/>
      <w:bookmarkStart w:id="661" w:name="Tc__bFGfLFUrUOSdO4lXnoAOg_11_0"/>
      <w:bookmarkStart w:id="662" w:name="Tc_g7gQYsH430yoeieOh_ityg_10_3"/>
      <w:bookmarkStart w:id="663" w:name="Tc_qUZ89M7nRE-ysOaWrLX8pA_10_0"/>
      <w:bookmarkStart w:id="664" w:name="Tc_nck3mvlgM02iic9N51HCAQ_9_0"/>
      <w:bookmarkStart w:id="665" w:name="Tc_Lt15X4XO50aMX-ywXy7Ljw_8_0"/>
      <w:bookmarkStart w:id="666" w:name="Tc_0qzJznWB5kqNRTo9-sye1g_7_0"/>
      <w:bookmarkStart w:id="667" w:name="Tc_-B8ANVYY70-g6Qqitd4e9w_6_5"/>
      <w:bookmarkStart w:id="668" w:name="Tc_lf_6pygGrkCTXHcuOfq9WA_6_2"/>
      <w:bookmarkStart w:id="669" w:name="Tc_EFZNuJGySE-VJ7fGkinRdQ_6_0"/>
      <w:bookmarkStart w:id="670" w:name="Tc_0PoC7pgbXU24wqaLbIORvw_5_0"/>
      <w:bookmarkStart w:id="671" w:name="Tc_9Qcwxy2350Sgddref75W8A_3_5"/>
      <w:bookmarkStart w:id="672" w:name="Tc_iVs6ouvX1kKZuTwrTKpl6Q_3_2"/>
      <w:bookmarkStart w:id="673" w:name="Tc_Quu9gC6UPES4zGSV0li3pg_2_2"/>
      <w:bookmarkStart w:id="674" w:name="Tc_S38CzxcS3kajA9-oXAVVRw_1_2"/>
      <w:bookmarkStart w:id="675" w:name="_67e8c8a4_0b4b_4028_aaf3_2f532c0a73d5"/>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tbl>
      <w:tblPr>
        <w:tblW w:w="8907" w:type="dxa"/>
        <w:jc w:val="left"/>
        <w:tblInd w:w="0" w:type="dxa"/>
        <w:tblLayout w:type="fixed"/>
        <w:tblCellMar>
          <w:top w:w="0" w:type="dxa"/>
          <w:left w:w="0" w:type="dxa"/>
          <w:bottom w:w="0" w:type="dxa"/>
          <w:right w:w="0" w:type="dxa"/>
        </w:tblCellMar>
      </w:tblPr>
      <w:tblGrid>
        <w:gridCol w:w="6196"/>
        <w:gridCol w:w="326"/>
        <w:gridCol w:w="211"/>
        <w:gridCol w:w="796"/>
        <w:gridCol w:w="326"/>
        <w:gridCol w:w="211"/>
        <w:gridCol w:w="841"/>
      </w:tblGrid>
      <w:tr>
        <w:trPr/>
        <w:tc>
          <w:tcPr>
            <w:tcW w:w="6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934460" cy="175260"/>
                      <wp:effectExtent l="0" t="0" r="0" b="0"/>
                      <wp:wrapNone/>
                      <wp:docPr id="185" name="Frame181"/>
                      <a:graphic xmlns:a="http://schemas.openxmlformats.org/drawingml/2006/main">
                        <a:graphicData uri="http://schemas.microsoft.com/office/word/2010/wordprocessingShape">
                          <wps:wsp>
                            <wps:cNvSpPr txBox="1"/>
                            <wps:spPr>
                              <a:xfrm>
                                <a:off x="0" y="0"/>
                                <a:ext cx="393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6"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7"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05460" cy="175260"/>
                      <wp:effectExtent l="0" t="0" r="0" b="0"/>
                      <wp:wrapNone/>
                      <wp:docPr id="188" name="Frame1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89"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0"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34035" cy="175260"/>
                      <wp:effectExtent l="0" t="0" r="0" b="0"/>
                      <wp:wrapNone/>
                      <wp:docPr id="191" name="Frame18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6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(14,072)</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for 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exchange (gain) loss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fixed asset impairment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(reversal of) inventory reserve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lease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(14,310)</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18,644</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17,869</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currency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14,549</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 (share issuance costs allocated to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and financing transactions: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reclassified to equity on exercise of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76" w:name="_507d0927_fd32_48a2_9b17_eab7152fa96d"/>
      <w:bookmarkEnd w:id="676"/>
      <w:r>
        <w:rPr>
          <w:rFonts w:ascii="Times New Roman;Times;serif" w:hAnsi="Times New Roman;Times;serif"/>
          <w:b/>
          <w:sz w:val="20"/>
        </w:rPr>
        <w:t>Helius Medical Technologies, Inc.</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77" w:name="NotestotheConsolidatedFinancialStatement"/>
      <w:bookmarkEnd w:id="677"/>
      <w:r>
        <w:rPr>
          <w:rFonts w:ascii="Times New Roman;Times;serif" w:hAnsi="Times New Roman;Times;serif"/>
          <w:b/>
          <w:sz w:val="20"/>
        </w:rPr>
        <w:t>Notes to the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DESCRIPTION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Helius Medical Technologies, Inc. (together with its wholly owned subsidiaries the “Company”) conducts operations in the United States and Canada. The Company’s product, known as the Portable Neuromodulation Stimulator (“PoNS®”) has been commercially available in Canada since March 2019. The Company began accepting prescriptions for its PoNS product in the United States in the first quarter of 2022, and the first commercial sales began in April 2022. PoNS is authorized for sale as a Class IIa medical device in Australia. The Company is working to establish a distribution partner for Australia but has not yet had any commercial sales of PoNS in Australia.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Going Concern Uncertainty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December 31, 2023, the Company had cash and cash equivalents of $5.2 million. For the year ended December 31, 2023, the Company had an operating loss of $12.4 million, and as of December 31, 2023, its accumulated deficit was $160.0 million. For the year ended December 31, 2023, the Company had $0.6 million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consolidated financial statements are filed. The Company’s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the Company will be successful in raising additional capital or that such capital, if available, will be on terms that are acceptable to the Company. If the Company is unable to raise sufficient additional capital, the Company may be compelled to reduce the scope of its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accompanying consolidated financial statements reflect the operations of Helius Medical Technologies, Inc. and its wholly owned subsidiaries. All intercompany balances and transactions have been eliminated in consolidation.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Reclassifications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prior period amounts have been reclassified to conform to the current period presentation.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The preparation of the consolidated financial statements in accordance with U.S. GAAP requires management to make estimates and assumptions that affect the amounts reported in the consolidated financial statements and disclosure of contingent assets and liabilities. Significant estimates include the assumptions used in the valuation of the fair value-pricing model for stock-based compensation, liability classified warrants and deferred income tax asset valuation allowance. Financial statements include estimates, which, by their nature, are uncertain. Actual results could differ from those estimates.</w:t>
      </w:r>
      <w:r>
        <w:rPr>
          <w:rFonts w:ascii="Times New Roman;Times;serif" w:hAnsi="Times New Roman;Times;serif"/>
          <w:b/>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 Translation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local currency, or CAD$, is the functional currency of the Company’s foreign operating subsidiary, Helius Medical Technologies (Canada), Inc. All assets and liabilities are translated into United States dollars at the rate of exchange in effect at the balance sheet date. Income and expense items are translated at the weighted-average exchange rate prevailing during the period. The effects of foreign currency translation adjustments are deferred and reported in stockholders' equity as a component of “Accumulated Other Comprehensive Loss.” The effects of foreign currency transactions denominated in a currency other than an entity's functional currency are included in “Foreign Exchange (Loss) Gain” in the Consolidated Statements of Operations and Comprehensive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generates nearly all revenue from product sales directly to patients, its e-commerce partner in the United States and to clinics in Canada. Revenue from product sales is recognized at a point in time as the performance obligation is satisfied and when the customer obtains control of the product at the established transaction price. Taxes that the Company collects concurrent with revenue-producing activities are excluded from revenue.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requires some customers in the United States to prepay the full product selling price, net of cash discount, prior to shipment. The Company records a contract liability for any customer prepayment received for which delivery had not yet occurred as of the end of the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deposits its cash and cash equivalents in demand commercial checking, unrestricted money market savings account, money market mutual funds, treasury bills or certificates of deposit at high-quality credit institutions. At times, such deposits may be in excess of federally insured limits. The Company has not experienced any losses.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considers highly liquid investments with original maturities of three months or less to be cash equivalents. Cash equivalents are valued at cost, which approximates fair value.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Accounts Receivable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Accounts receivable arise primarily from product sales in Canada and generally require payment within 30 days. The Company provides reserves against accounts receivable for estimated credit losses that may result from a customer’s inability to pay based on a combination of factors, such as the aging of accounts receivable, the customer’s financial strength and payment history. Amounts determined to be uncollectible are charged or written off against the reserve.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Employee Retention Credit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employee retention credit (“ERC”), as originally enacted through the Coronavirus Aid, Relief, and Economic Security Act, is a refundable credit against certain employment taxes equal to 50% of the qualified wages an eligible employer pays to employees from March 17, 2020 to December 31, 2020. The Disaster Tax Relief Act extended the ERC for qualified wages paid from January 1, 2021 to June 30, 2021 and the credit was increased to 70% of qualified wages an eligible employer pays to employees during the extended period. The American Rescue Plan Act of 2021, enacted on March 11, 2021, further extended the ERC through December 31, 2021.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qualified for the employee retention credit for the period from March 17, 2020 to September 30, 2021. The Company recognizes government credits for which there is a reasonable assurance of compliance with credit conditions and receipt of credits. The Company recorded a credit of $0.5 million against operating expenses on the Consolidated Statement of Operations and Comprehensive Loss and as a current asset on the consolidated balance sheets during the year ended December 31, 2023. The Company expects to receive the credit in the next twelve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Inventories are stated at the lower of cost (average cost method) or net realizable value. The Company establishes inventory reserves for obsolescence based upon specific identification of expired or unusable units with a corresponding provision included in cost of revenue.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are recorded at cost. Depreciation is calculated for financial reporting purposes on the straight-line method over the estimated useful lives of the related assets, which are seven years for furniture and fixtures,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fifteen years for equipment and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five years for computer software and hardware. Depreciation expense is recorded in selling, general and administrative expenses. Expenditures for repairs and maintenance, which do not improve or extend the expected useful life of the assets, are expensed 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Long-Lived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reviews the carrying amounts of definite-lived intangible assets and long-lived assets, including right-of-use (“ROU”) assets, property and equipment whenever events or circumstances indicate that the carrying amounts of an asset may not be recoverable. For purposes of assessing recoverability, definite-lived intangible assets and long-lived tangible assets are each deemed to be one asset group. The carrying amount of the asset group is compared to the estimated undiscounted future cash flows associated with it. If the sum of the expected future net cash flows is less than the carrying value of the asset group being evaluated, an impairment loss is calculated as the amount by which the carrying value of the asset group exceeds its estimated fair value.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an operating lease for its corporate office. The Company determines whether a contract is, or contains, a lease at inception. ROU assets represent the Company’s right to use an underlying asset during the lease term, and lease liabilities represent the Company’s obligation to make lease payments arising from the lease. ROU assets and lease liabilities are recognized at lease commencement based upon the estimated present value of unpaid lease payments over the lease term. The Company uses its incremental borrowing rate based on the information available at lease commencement in determining the present value of unpaid lease payments. The Company's incremental borrowing rate is determined based on the estimated rate of interest for collateralized borrowing over a similar term as the associated lease. The Company’s lease arrangement does not have any lease and non-lease components.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measures and recognizes compensation expense for all stock-based awards based on estimated fair values. Stock-based awards consist of stock options and restricted stock units. Stock-based compensation expense is measured at the grant date based on the fair value of the award and is recognized as expense over the requisite service period (vesting period) on a straight-line basis. Forfeitures are not estimated, but instead stock-based compensation expense is adjusted upon an actual forfeiture of a stock option. Upon exercise of stock options or vesting of restricted stock units, the Company issues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taxable income in the years in which those temporary differences are expected to be recovered or settled. The effect on deferred tax assets and liabilities of a change in tax rates is recognized in income in the period that includes the enactment date. A valuation allowance for deferred income tax assets is recorded when it is more likely than not that some portion or all of the deferred income tax assets will not be realized.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costs are charged to expense when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enterprise for which discrete financial information is available that is evaluated regularly by the chief operating decision maker (“CODM”) in deciding how to allocate resources and in assessing performance. Our CODM is the Chief Executive Officer. The Company operates and manages its business within one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 related to the sale of PoNS devices in the United States and Canada.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does not engage in hedging activities. The Company evaluates its financial instruments and other contracts to determine if those contracts or embedded components of those contracts qualify as derivatives to be separately accounted for. The result of this accounting treatment is that the fair value of the derivative is re-measured at each balance sheet date and recorded as a liability or asset and the change in fair value is recorded in the Consolidated Statements of Operations and Comprehensive Loss. Refer to Note 8 for additional information about the derivative liability.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Basic and Diluted Loss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Basic loss per share is computed by dividing net loss by the weighted-average number of common shares outstanding during the period. Diluted loss per share is based on the weighted-average common shares outstanding during the period plus dilutive potential common shares calculated using the treasury stock method. Such potentially dilutive shares are excluded when the effect would be to reduce a net loss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2016, the Financial Accounting Standards Board issued Accounting Standards Update 2016-13, Financial Instruments – Credit Losses (Topic 326): Measurement of Credit Losses on Financial Instruments, which requires measurement and recognition of expected credit losses for financial assets held and requires enhanced disclosures regarding significant estimates and judgments used in estimating credit losses. As the Company meets the SEC definition of a Smaller Reporting Company filer, the guidance was effective for fiscal years beginning after December 15, 2022. The adoption of this guidance on January 1, 2023 did not have a material impact on the Company's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GOODWILL AND FIXED ASSETS IMPAIRMENT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Fixed Asset Impairment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identified an impairment indicator associated with its property and equipment and performed interim impairment tests on the long-lived tangible assets as a result of a planned change of the Company’s contract manufacturing partner to be completed in less than one year from September 30, 2023. The interim impairment tests were performed using estimated market prices. The Company has determined that the fair value of certain long-lived tangible assets is lower than the related book values. Additionally, for certain long-lived tangible assets, it is more likely than not that those long-lived assets will be disposed significantly before the end of their previously estimated useful lives. As a result, impairment charges of $159 thousand were recorded in the third quarter of 2023 on its long-lived tangible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Goodwill Impairment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the Company recorded an impairment charge of $757 thousand for the full write-down of the goodwill recorded in connection with its acquisition of Heuro Canada, Inc. The significant decline in the price of the Company’s Class A common stock (“common stock”) following the Company’s registered public offering in August 2022 was considered a triggering event for testing whether goodwill was impaired. The Company elected to perform a quantitative impairment test as of September 30, 2022 for its one identified reporting unit, and determined that the carrying value exceeded the estimated fair value based on the closing price of the Company’s common stock on the Nasdaq Capital Market.</w:t>
      </w:r>
    </w:p>
    <w:p>
      <w:pPr>
        <w:pStyle w:val="TextBody"/>
        <w:bidi w:val="0"/>
        <w:spacing w:before="0" w:after="240"/>
        <w:ind w:left="0" w:right="0" w:hanging="0"/>
        <w:jc w:val="left"/>
        <w:rPr>
          <w:rFonts w:ascii="Times New Roman;Times;serif" w:hAnsi="Times New Roman;Times;serif"/>
          <w:b/>
          <w:sz w:val="20"/>
        </w:rPr>
      </w:pPr>
      <w:bookmarkStart w:id="678" w:name="Tc_0Fn6wXCsAkONecsuvZ6LMg_8_5"/>
      <w:bookmarkStart w:id="679" w:name="Tc_jh_Gnkbwq0GKoMmPskPSKg_8_2"/>
      <w:bookmarkStart w:id="680" w:name="Tc_fRNP7BZbCUyy0X2TddkaTQ_8_0"/>
      <w:bookmarkStart w:id="681" w:name="Tc_T7S9WwLc-USgIlJyy_BMbw_7_0"/>
      <w:bookmarkStart w:id="682" w:name="Tc_zauzbEo0iE-RLe8hiFGeAg_6_0"/>
      <w:bookmarkStart w:id="683" w:name="Tc_BuYb4UbLf0KK6PtuugSaCA_5_0"/>
      <w:bookmarkStart w:id="684" w:name="Tc_U_v-Jn1mcEqRm68BBodN4w_4_0"/>
      <w:bookmarkStart w:id="685" w:name="Tc_Q_AjzRFhn0Cer3fdmwZ3lg_3_5"/>
      <w:bookmarkStart w:id="686" w:name="Tc_WuXgIJPjL0SoJA5Nl07r-g_3_2"/>
      <w:bookmarkStart w:id="687" w:name="Tc_zFusQEon-U2Fu1SvikmqtQ_3_0"/>
      <w:bookmarkStart w:id="688" w:name="Tc_uW70rIced0KWeOp4HTQgww_2_5"/>
      <w:bookmarkStart w:id="689" w:name="Tc_QXuuU08Vf0mVtFan7bUD4w_2_2"/>
      <w:bookmarkStart w:id="690" w:name="Tc_7db7Ntsa1k6EMn4UE6M21Q_1_2"/>
      <w:bookmarkStart w:id="691" w:name="_83b65e8b_8982_4737_a704_da56f8de312b"/>
      <w:bookmarkStart w:id="692" w:name="Tc_it6u2pfKd0edb80HNHAQZQ_6_5"/>
      <w:bookmarkStart w:id="693" w:name="Tc_mik3LzIx2EWED3Z4dLTIcw_6_2"/>
      <w:bookmarkStart w:id="694" w:name="Tc_mM9egsjI7EG4C7NO4BTUfA_6_0"/>
      <w:bookmarkStart w:id="695" w:name="Tc_R66QutXGPk-UcXTQ_2oqSg_5_6"/>
      <w:bookmarkStart w:id="696" w:name="Tc_bZ6p7qflmUKsFFFl4U-qtA_5_0"/>
      <w:bookmarkStart w:id="697" w:name="Tc_4yKdQ_y3F0adM0udnE4QrA_4_0"/>
      <w:bookmarkStart w:id="698" w:name="Tc_IlJWNF3TvkyHPVDs25rwLA_3_5"/>
      <w:bookmarkStart w:id="699" w:name="Tc_LfKIl4w8NUKhjQZ9YXZMHg_3_2"/>
      <w:bookmarkStart w:id="700" w:name="Tc_E6658Y3txUGv038LdUng4A_3_0"/>
      <w:bookmarkStart w:id="701" w:name="Tc_Hrr3dhRXcki13YiPE7PLKA_2_5"/>
      <w:bookmarkStart w:id="702" w:name="Tc_izgqL9LKOEOCp4iBd_ilmg_2_2"/>
      <w:bookmarkStart w:id="703" w:name="Tc_Sr8CXR03aU-bkwV_6qczVA_1_2"/>
      <w:bookmarkStart w:id="704" w:name="_ad769464_7a9a_4274_a00f_aadaffc6a38f"/>
      <w:bookmarkStart w:id="705" w:name="Tc_IAUn069-JkqY9JfHcJpicA_8_5"/>
      <w:bookmarkStart w:id="706" w:name="Tc_uTOCwG6AXES4xrYcw5fyow_8_2"/>
      <w:bookmarkStart w:id="707" w:name="Tc_ahNBCeTP4EukyVHHg0xKag_8_0"/>
      <w:bookmarkStart w:id="708" w:name="Tc_5Ffym0ax2EyZZI9WmM8dVw_7_0"/>
      <w:bookmarkStart w:id="709" w:name="Tc_vVj9gZACl0-Iqquylbjn2g_6_0"/>
      <w:bookmarkStart w:id="710" w:name="Tc_ugxod0Lq2Eq0TJGMRXAcew_5_0"/>
      <w:bookmarkStart w:id="711" w:name="Tc_08qfjzCiL0e5dRSDaetAWQ_4_0"/>
      <w:bookmarkStart w:id="712" w:name="Tc_s2AVA7bVR0mzLs0PhUY9aA_3_5"/>
      <w:bookmarkStart w:id="713" w:name="Tc_I0NbvcbKh0WI3lPJa82ccA_3_2"/>
      <w:bookmarkStart w:id="714" w:name="Tc_SrIonMcoSUiDAJGLUM1Gaw_3_0"/>
      <w:bookmarkStart w:id="715" w:name="Tc_J_83ipy3OkG-UYosUPDEpg_2_5"/>
      <w:bookmarkStart w:id="716" w:name="Tc_OFqA-gRghkmHRxpvlM5aKA_2_2"/>
      <w:bookmarkStart w:id="717" w:name="Tc_gMIfG5StVEmleFXTHHsmoQ_1_2"/>
      <w:bookmarkStart w:id="718" w:name="_f2c7a2a8_2e1c_4fed_ab39_0ddd6812640d"/>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r>
        <w:rPr>
          <w:rFonts w:ascii="Times New Roman;Times;serif" w:hAnsi="Times New Roman;Times;serif"/>
          <w:b/>
          <w:i w:val="false"/>
          <w:caps w:val="false"/>
          <w:smallCaps w:val="false"/>
          <w:sz w:val="20"/>
        </w:rPr>
        <w:t>4.</w:t>
      </w:r>
      <w:r>
        <w:rPr>
          <w:rFonts w:ascii="Times New Roman;Times;serif" w:hAnsi="Times New Roman;Times;serif"/>
          <w:b/>
          <w:sz w:val="20"/>
        </w:rPr>
        <w:t>SUPPLEMENTAL BALANCE SHEET DISCLOSURES</w:t>
      </w:r>
    </w:p>
    <w:p>
      <w:pPr>
        <w:pStyle w:val="TextBody"/>
        <w:pBdr/>
        <w:bidi w:val="0"/>
        <w:spacing w:before="0" w:after="240"/>
        <w:ind w:left="0" w:right="0" w:hanging="490"/>
        <w:jc w:val="both"/>
        <w:rPr>
          <w:rFonts w:ascii="Times New Roman;Times;serif" w:hAnsi="Times New Roman;Times;serif"/>
          <w:sz w:val="20"/>
        </w:rPr>
      </w:pPr>
      <w:r>
        <w:rPr>
          <w:rFonts w:ascii="Times New Roman;Times;serif" w:hAnsi="Times New Roman;Times;serif"/>
          <w:sz w:val="20"/>
        </w:rPr>
        <w:t>Components of selected captions in the Consolidated Balance Sheets are as follows:</w:t>
      </w:r>
    </w:p>
    <w:p>
      <w:pPr>
        <w:pStyle w:val="TextBody"/>
        <w:pBdr/>
        <w:bidi w:val="0"/>
        <w:spacing w:before="0" w:after="240"/>
        <w:ind w:left="0" w:right="0" w:hanging="490"/>
        <w:jc w:val="both"/>
        <w:rPr>
          <w:rFonts w:ascii="Times New Roman;Times;serif" w:hAnsi="Times New Roman;Times;serif"/>
          <w:b/>
          <w:sz w:val="20"/>
        </w:rPr>
      </w:pPr>
      <w:r>
        <w:rPr>
          <w:rFonts w:ascii="Times New Roman;Times;serif" w:hAnsi="Times New Roman;Times;serif"/>
          <w:b/>
          <w:sz w:val="20"/>
        </w:rPr>
        <w:t>Accounts receivable, net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Accounts receivable are net of allowance for doubtful accounts of $0 and less than $1 thousand as of December 31, 2023 and 2022, respectively.</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Inventory, net (in thousands)</w:t>
      </w:r>
    </w:p>
    <w:tbl>
      <w:tblPr>
        <w:tblW w:w="3350" w:type="dxa"/>
        <w:jc w:val="left"/>
        <w:tblInd w:w="0" w:type="dxa"/>
        <w:tblLayout w:type="fixed"/>
        <w:tblCellMar>
          <w:top w:w="0" w:type="dxa"/>
          <w:left w:w="0" w:type="dxa"/>
          <w:bottom w:w="0" w:type="dxa"/>
          <w:right w:w="0" w:type="dxa"/>
        </w:tblCellMar>
      </w:tblPr>
      <w:tblGrid>
        <w:gridCol w:w="1531"/>
        <w:gridCol w:w="326"/>
        <w:gridCol w:w="211"/>
        <w:gridCol w:w="436"/>
        <w:gridCol w:w="109"/>
        <w:gridCol w:w="211"/>
        <w:gridCol w:w="52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72185" cy="175260"/>
                      <wp:effectExtent l="0" t="0" r="0" b="0"/>
                      <wp:wrapNone/>
                      <wp:docPr id="192" name="Frame188"/>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3"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4"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76860" cy="175260"/>
                      <wp:effectExtent l="0" t="0" r="0" b="0"/>
                      <wp:wrapNone/>
                      <wp:docPr id="195" name="Frame19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6"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7"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34010" cy="175260"/>
                      <wp:effectExtent l="0" t="0" r="0" b="0"/>
                      <wp:wrapNone/>
                      <wp:docPr id="198" name="Frame19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gross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reserve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Inventory, net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589</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During the years ended December 31, 2023 and 2022, existing reserves of $16 thousand and $175 thousand were charged against inventory, respectively.</w:t>
      </w:r>
    </w:p>
    <w:p>
      <w:pPr>
        <w:pStyle w:val="TextBody"/>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Prepaid expenses and other current assets (in thousands)</w:t>
      </w:r>
    </w:p>
    <w:tbl>
      <w:tblPr>
        <w:tblW w:w="6035" w:type="dxa"/>
        <w:jc w:val="left"/>
        <w:tblInd w:w="0" w:type="dxa"/>
        <w:tblLayout w:type="fixed"/>
        <w:tblCellMar>
          <w:top w:w="0" w:type="dxa"/>
          <w:left w:w="0" w:type="dxa"/>
          <w:bottom w:w="0" w:type="dxa"/>
          <w:right w:w="0" w:type="dxa"/>
        </w:tblCellMar>
      </w:tblPr>
      <w:tblGrid>
        <w:gridCol w:w="3931"/>
        <w:gridCol w:w="326"/>
        <w:gridCol w:w="211"/>
        <w:gridCol w:w="571"/>
        <w:gridCol w:w="109"/>
        <w:gridCol w:w="211"/>
        <w:gridCol w:w="67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496185" cy="175260"/>
                      <wp:effectExtent l="0" t="0" r="0" b="0"/>
                      <wp:wrapNone/>
                      <wp:docPr id="199" name="Frame195"/>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0"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1"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62585" cy="175260"/>
                      <wp:effectExtent l="0" t="0" r="0" b="0"/>
                      <wp:wrapNone/>
                      <wp:docPr id="202" name="Frame1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3"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4"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29260" cy="175260"/>
                      <wp:effectExtent l="0" t="0" r="0" b="0"/>
                      <wp:wrapNone/>
                      <wp:docPr id="205" name="Frame2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related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1,216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Property and equipment, net (in thousands)</w:t>
      </w:r>
    </w:p>
    <w:tbl>
      <w:tblPr>
        <w:tblW w:w="4805" w:type="dxa"/>
        <w:jc w:val="left"/>
        <w:tblInd w:w="0" w:type="dxa"/>
        <w:tblLayout w:type="fixed"/>
        <w:tblCellMar>
          <w:top w:w="0" w:type="dxa"/>
          <w:left w:w="0" w:type="dxa"/>
          <w:bottom w:w="0" w:type="dxa"/>
          <w:right w:w="0" w:type="dxa"/>
        </w:tblCellMar>
      </w:tblPr>
      <w:tblGrid>
        <w:gridCol w:w="2821"/>
        <w:gridCol w:w="326"/>
        <w:gridCol w:w="211"/>
        <w:gridCol w:w="541"/>
        <w:gridCol w:w="109"/>
        <w:gridCol w:w="211"/>
        <w:gridCol w:w="58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91335" cy="175260"/>
                      <wp:effectExtent l="0" t="0" r="0" b="0"/>
                      <wp:wrapNone/>
                      <wp:docPr id="206" name="Frame202"/>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7"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08"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43535" cy="175260"/>
                      <wp:effectExtent l="0" t="0" r="0" b="0"/>
                      <wp:wrapNone/>
                      <wp:docPr id="209" name="Frame20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0"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1"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72110" cy="175260"/>
                      <wp:effectExtent l="0" t="0" r="0" b="0"/>
                      <wp:wrapNone/>
                      <wp:docPr id="212" name="Frame20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Computer software and hardware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719" w:name="Tc_Cbgr6oAp6kS6R_guLr9sBA_8_5"/>
      <w:bookmarkStart w:id="720" w:name="Tc_OiKkfWrC-0a6Zuq2aEa6ow_8_2"/>
      <w:bookmarkStart w:id="721" w:name="Tc_8dNKDs2J0ku7rX3ljQ46OQ_8_0"/>
      <w:bookmarkStart w:id="722" w:name="Tc_LTvB6ZxvS06OTA154S4PCg_7_0"/>
      <w:bookmarkStart w:id="723" w:name="Tc_D_w0FV-PM0KIYL63IUeurw_6_6"/>
      <w:bookmarkStart w:id="724" w:name="Tc_znGkufiw5UOUaxIipcvtTg_6_0"/>
      <w:bookmarkStart w:id="725" w:name="Tc_moRr_eg-BEWw9tSKdQvNNw_5_0"/>
      <w:bookmarkStart w:id="726" w:name="Tc_477v5lbbhUCuQ6_4u_Msqw_4_0"/>
      <w:bookmarkStart w:id="727" w:name="Tc_dUOfXQIC6UGrL7NCV79viQ_3_5"/>
      <w:bookmarkStart w:id="728" w:name="Tc__cFmDSdNw02zSKmToVi3Xg_3_2"/>
      <w:bookmarkStart w:id="729" w:name="Tc_yHL-yKZD0UCMFmMHZjWZdA_3_0"/>
      <w:bookmarkStart w:id="730" w:name="Tc_tWpGUnOcEUG9CbDfUR7oWQ_2_5"/>
      <w:bookmarkStart w:id="731" w:name="Tc_Q0r7IrTOg0yU1_ljxGc7BQ_2_2"/>
      <w:bookmarkStart w:id="732" w:name="Tc_nN_xE2lKgEycg5GolKmhIw_1_2"/>
      <w:bookmarkStart w:id="733" w:name="_c10d3e3c_d65f_41a1_bd5e_942e8db25d15"/>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Accrued and other current liabilities (in thousands)</w:t>
      </w:r>
    </w:p>
    <w:tbl>
      <w:tblPr>
        <w:tblW w:w="5802" w:type="dxa"/>
        <w:jc w:val="left"/>
        <w:tblInd w:w="0" w:type="dxa"/>
        <w:tblLayout w:type="fixed"/>
        <w:tblCellMar>
          <w:top w:w="0" w:type="dxa"/>
          <w:left w:w="0" w:type="dxa"/>
          <w:bottom w:w="0" w:type="dxa"/>
          <w:right w:w="0" w:type="dxa"/>
        </w:tblCellMar>
      </w:tblPr>
      <w:tblGrid>
        <w:gridCol w:w="3481"/>
        <w:gridCol w:w="326"/>
        <w:gridCol w:w="211"/>
        <w:gridCol w:w="571"/>
        <w:gridCol w:w="326"/>
        <w:gridCol w:w="211"/>
        <w:gridCol w:w="67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10435" cy="175260"/>
                      <wp:effectExtent l="0" t="0" r="0" b="0"/>
                      <wp:wrapNone/>
                      <wp:docPr id="213" name="Frame20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4"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5"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62585" cy="175260"/>
                      <wp:effectExtent l="0" t="0" r="0" b="0"/>
                      <wp:wrapNone/>
                      <wp:docPr id="216" name="Frame2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7"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18"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29260" cy="175260"/>
                      <wp:effectExtent l="0" t="0" r="0" b="0"/>
                      <wp:wrapNone/>
                      <wp:docPr id="219" name="Frame2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Employees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tax</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1,280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Deferred revenue</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Exclusive Distribution Agreement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Pursuant to an Exclusive Distribution Agreement with Health Tech Connex Inc. (“HTC”) (“Exclusivity Agreement”) entered into on March 3, 2023, subject to certain terms and conditions, the Company granted to HTC the exclusive right to provide PoNS Therapy® in the Fraser Valley and Vancouver metro regions of British Columbia. HTC is to purchase the PoNS devices for use in these regions exclusively from the Company and on terms no less favorable than the then-current standard terms and conditions. This Exclusivity Agreement replaced the previous Clinical Research and Co-Promotion Agreement (“Co-Promotion Agreement”) between the parties entered into in October 2019 that included a similar exclusive right provision. The exclusive right under the Exclusivity Agreement was granted for a value of CAD$273 thousand, which is represented by the unamortized up-front payment under the former Co-Promotion Agreement. The initial term of the Exclusivity Agreement expires on December 31, 2027, and is renewable by HTC for one additional five-year term upon sixty days’ written notice to the Company.</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Deferred revenue as of both December 31, 2023 and 2022 is comprised of the remaining unamortized amount under these agreements. Revenue recognized is included in other revenue in the Consolidated Statements of Operations and Comprehensive Loss. </w:t>
      </w:r>
    </w:p>
    <w:p>
      <w:pPr>
        <w:pStyle w:val="TextBody"/>
        <w:bidi w:val="0"/>
        <w:spacing w:before="0" w:after="240"/>
        <w:ind w:left="0" w:right="0" w:hanging="0"/>
        <w:jc w:val="left"/>
        <w:rPr>
          <w:rFonts w:ascii="Times New Roman;Times;serif" w:hAnsi="Times New Roman;Times;serif"/>
          <w:b/>
          <w:sz w:val="20"/>
        </w:rPr>
      </w:pPr>
      <w:bookmarkStart w:id="734" w:name="Tc_rdOA9LMfSk24kM97WAx8yA_2_4"/>
      <w:bookmarkStart w:id="735" w:name="Tc_53y9smYILEGLNcMEjLqV-g_2_0"/>
      <w:bookmarkStart w:id="736" w:name="Tc_THR9d7eXWEue7oLFeDumQw_1_0"/>
      <w:bookmarkStart w:id="737" w:name="_3ece0abd_7003_4363_a6f2_6e4e3d1d8fb0"/>
      <w:bookmarkStart w:id="738" w:name="Tc_yyFLG7KZh0m0qT4aGr4C4w_5_2"/>
      <w:bookmarkStart w:id="739" w:name="Tc_4iY8eTmw2UGu6yOM_ZpLtg_5_0"/>
      <w:bookmarkStart w:id="740" w:name="Tc_0aAdDln7cUuJhwf66YffBQ_4_0"/>
      <w:bookmarkStart w:id="741" w:name="Tc_GvUdV9qCaESfpMyng59I1A_3_0"/>
      <w:bookmarkStart w:id="742" w:name="Tc_ZGD5XDl1EUqr-YBhG2LKtQ_2_0"/>
      <w:bookmarkStart w:id="743" w:name="Tc_o0l0qd3UIk6OkVqvz00T6Q_1_2"/>
      <w:bookmarkStart w:id="744" w:name="Tc_rNfDyM-_qUqgy1MJNf9SFQ_1_0"/>
      <w:bookmarkStart w:id="745" w:name="_989423ee_f4b1_4b1f_b27a_349301581dc3"/>
      <w:bookmarkEnd w:id="734"/>
      <w:bookmarkEnd w:id="735"/>
      <w:bookmarkEnd w:id="736"/>
      <w:bookmarkEnd w:id="737"/>
      <w:bookmarkEnd w:id="738"/>
      <w:bookmarkEnd w:id="739"/>
      <w:bookmarkEnd w:id="740"/>
      <w:bookmarkEnd w:id="741"/>
      <w:bookmarkEnd w:id="742"/>
      <w:bookmarkEnd w:id="743"/>
      <w:bookmarkEnd w:id="744"/>
      <w:bookmarkEnd w:id="745"/>
      <w:r>
        <w:rPr>
          <w:rFonts w:ascii="Times New Roman;Times;serif" w:hAnsi="Times New Roman;Times;serif"/>
          <w:b/>
          <w:sz w:val="20"/>
        </w:rPr>
        <w:t>5.LEASES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w:t>
      </w:r>
      <w:r>
        <w:rPr>
          <w:rFonts w:ascii="Times New Roman;Times;serif" w:hAnsi="Times New Roman;Times;serif"/>
          <w:b w:val="false"/>
          <w:i w:val="false"/>
          <w:caps w:val="false"/>
          <w:smallCaps w:val="false"/>
          <w:sz w:val="20"/>
        </w:rPr>
        <w:t>an</w:t>
      </w:r>
      <w:r>
        <w:rPr>
          <w:rFonts w:ascii="Times New Roman;Times;serif" w:hAnsi="Times New Roman;Times;serif"/>
          <w:sz w:val="20"/>
        </w:rPr>
        <w:t xml:space="preserve"> operating lease for office space with lease terms that commenced in January 2022 and will expire in March 2025. The lease does not contain any options to extend. Operating lease costs for the years ended December 31, 2023 and 2022 were $54 thousand and $56 thousand,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Maturities of operating lease liabilities as of December 31, 2023 were as follows (in thousands):</w:t>
      </w:r>
    </w:p>
    <w:tbl>
      <w:tblPr>
        <w:tblW w:w="2647" w:type="dxa"/>
        <w:jc w:val="left"/>
        <w:tblInd w:w="0" w:type="dxa"/>
        <w:tblLayout w:type="fixed"/>
        <w:tblCellMar>
          <w:top w:w="0" w:type="dxa"/>
          <w:left w:w="0" w:type="dxa"/>
          <w:bottom w:w="0" w:type="dxa"/>
          <w:right w:w="0" w:type="dxa"/>
        </w:tblCellMar>
      </w:tblPr>
      <w:tblGrid>
        <w:gridCol w:w="1906"/>
        <w:gridCol w:w="109"/>
        <w:gridCol w:w="211"/>
        <w:gridCol w:w="42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10310" cy="175260"/>
                      <wp:effectExtent l="0" t="0" r="0" b="0"/>
                      <wp:wrapNone/>
                      <wp:docPr id="220" name="Frame216"/>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1"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2"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67335" cy="175260"/>
                      <wp:effectExtent l="0" t="0" r="0" b="0"/>
                      <wp:wrapNone/>
                      <wp:docPr id="223" name="Frame21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table provides information on the lease terms and discount rates for the operating lease as of December 31, 2023: </w:t>
      </w:r>
    </w:p>
    <w:tbl>
      <w:tblPr>
        <w:tblW w:w="5257" w:type="dxa"/>
        <w:jc w:val="left"/>
        <w:tblInd w:w="0" w:type="dxa"/>
        <w:tblLayout w:type="fixed"/>
        <w:tblCellMar>
          <w:top w:w="0" w:type="dxa"/>
          <w:left w:w="0" w:type="dxa"/>
          <w:bottom w:w="0" w:type="dxa"/>
          <w:right w:w="0" w:type="dxa"/>
        </w:tblCellMar>
      </w:tblPr>
      <w:tblGrid>
        <w:gridCol w:w="4111"/>
        <w:gridCol w:w="109"/>
        <w:gridCol w:w="146"/>
        <w:gridCol w:w="466"/>
        <w:gridCol w:w="271"/>
        <w:gridCol w:w="154"/>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610485" cy="175260"/>
                      <wp:effectExtent l="0" t="0" r="0" b="0"/>
                      <wp:wrapNone/>
                      <wp:docPr id="224" name="Frame22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5"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2710" cy="175260"/>
                      <wp:effectExtent l="0" t="0" r="0" b="0"/>
                      <wp:wrapNone/>
                      <wp:docPr id="226" name="Frame22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95910" cy="175260"/>
                      <wp:effectExtent l="0" t="0" r="0" b="0"/>
                      <wp:wrapNone/>
                      <wp:docPr id="227" name="Frame22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72085" cy="175260"/>
                      <wp:effectExtent l="0" t="0" r="0" b="0"/>
                      <wp:wrapNone/>
                      <wp:docPr id="228" name="Frame22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97790" cy="175260"/>
                      <wp:effectExtent l="0" t="0" r="0" b="0"/>
                      <wp:wrapNone/>
                      <wp:docPr id="229" name="Frame22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27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36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6" w:name="Tc_PM4lHXDhwEy3fYDcLZyzMg_9_20"/>
      <w:bookmarkStart w:id="747" w:name="Tc_dtSLKFohO0GiTjQ6J2zQMw_9_17"/>
      <w:bookmarkStart w:id="748" w:name="Tc_wtPEoGbMYEy0KsKBp3wDew_9_14"/>
      <w:bookmarkStart w:id="749" w:name="Tc_161P0rV_zkm7v3VOM57WGg_9_11"/>
      <w:bookmarkStart w:id="750" w:name="Tc_Sgn2YYNxUE21DW5B252BHg_9_8"/>
      <w:bookmarkStart w:id="751" w:name="Tc_2PYlTvoi7kyXDmBh0FT3bw_9_5"/>
      <w:bookmarkStart w:id="752" w:name="Tc_03VxZ_OTdUiCDivJG5lflg_9_0"/>
      <w:bookmarkStart w:id="753" w:name="Tc_qyqnMtECrEuGZx7A4lwiRg_8_12"/>
      <w:bookmarkStart w:id="754" w:name="Tc_bgFX8wqTCUKFC30wM1a82A_8_0"/>
      <w:bookmarkStart w:id="755" w:name="Tc_DbELZsizCUuIP46oIzJ5eA_7_0"/>
      <w:bookmarkStart w:id="756" w:name="Tc_YE2WgEuFhk676SYTswdseQ_6_20"/>
      <w:bookmarkStart w:id="757" w:name="Tc_2nG4kwVJHEmJ3-QhnCQN4Q_6_17"/>
      <w:bookmarkStart w:id="758" w:name="Tc_7zYG2VC82ES9GzhKJqa7vw_6_14"/>
      <w:bookmarkStart w:id="759" w:name="Tc_pfQbKWGeTE2gFxr73PG6vQ_6_12"/>
      <w:bookmarkStart w:id="760" w:name="Tc__0JWDlmAoEqruCnn_exUow_6_11"/>
      <w:bookmarkStart w:id="761" w:name="Tc_TKMRQ0JkNkK20Dbjnijm-g_6_8"/>
      <w:bookmarkStart w:id="762" w:name="Tc_5S4hBUW9REel4CQgDMDG-Q_6_5"/>
      <w:bookmarkStart w:id="763" w:name="Tc_rNFab_gGhkecMNtWEzPQpA_6_0"/>
      <w:bookmarkStart w:id="764" w:name="Tc_SVPfYVJDLU6tsKjlioY9Vw_5_20"/>
      <w:bookmarkStart w:id="765" w:name="Tc_fE-FbgYtH0a8JiTl7NM_yg_5_17"/>
      <w:bookmarkStart w:id="766" w:name="Tc_L7NzKWqhlESxf9o2awERkQ_5_14"/>
      <w:bookmarkStart w:id="767" w:name="Tc_XEw9o_H6sk6P7Ae8JOsqww_5_11"/>
      <w:bookmarkStart w:id="768" w:name="Tc_Ae57DZEqz0uPwK8HhJuFZA_5_8"/>
      <w:bookmarkStart w:id="769" w:name="Tc_WiD3LKrFiUmtHLEp5v2bVw_5_5"/>
      <w:bookmarkStart w:id="770" w:name="Tc_GTgRKSvL3EuSIDyYhEx6Sw_5_2"/>
      <w:bookmarkStart w:id="771" w:name="Tc_ldlAP0JlDU-7MZA_Wre0SQ_4_20"/>
      <w:bookmarkStart w:id="772" w:name="Tc_gtW9QvEMr0Kb7m_AfVtGKw_4_17"/>
      <w:bookmarkStart w:id="773" w:name="Tc_VtmcCO0a40W4Z_pfjmXuDQ_4_11"/>
      <w:bookmarkStart w:id="774" w:name="Tc_thAPihhAqkugPV02P7Cfsw_4_8"/>
      <w:bookmarkStart w:id="775" w:name="Tc_Krrjx8Qf5Ei5pciXaclfgQ_4_2"/>
      <w:bookmarkStart w:id="776" w:name="Tc_2upmp-MuRECRBpz29RqGDg_3_20"/>
      <w:bookmarkStart w:id="777" w:name="Tc_hgNMw5CE9kWlERMVVwOBGQ_3_11"/>
      <w:bookmarkStart w:id="778" w:name="Tc_8hcoq8wQ7k2KYeUTrWBbvQ_2_14"/>
      <w:bookmarkStart w:id="779" w:name="Tc_Jm906QwkA02HsaevH0X4EQ_2_5"/>
      <w:bookmarkStart w:id="780" w:name="Tc_zWTRdPvKlUarWYg43Ek3OA_1_5"/>
      <w:bookmarkStart w:id="781" w:name="_c79eb9d6_b4fd_44d1_a72b_14609a10b44e"/>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rPr>
          <w:rFonts w:ascii="Times New Roman;Times;serif" w:hAnsi="Times New Roman;Times;serif"/>
          <w:b/>
          <w:i w:val="false"/>
          <w:caps w:val="false"/>
          <w:smallCaps w:val="false"/>
          <w:sz w:val="20"/>
        </w:rPr>
        <w:t>6.</w:t>
      </w:r>
      <w:r>
        <w:rPr>
          <w:rFonts w:ascii="Times New Roman;Times;serif" w:hAnsi="Times New Roman;Times;serif"/>
          <w:b/>
          <w:sz w:val="20"/>
        </w:rPr>
        <w:t>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Intangible assets consist of the following (in thousands):</w:t>
      </w:r>
    </w:p>
    <w:tbl>
      <w:tblPr>
        <w:tblW w:w="10205" w:type="dxa"/>
        <w:jc w:val="left"/>
        <w:tblInd w:w="0" w:type="dxa"/>
        <w:tblLayout w:type="fixed"/>
        <w:tblCellMar>
          <w:top w:w="0" w:type="dxa"/>
          <w:left w:w="0" w:type="dxa"/>
          <w:bottom w:w="0" w:type="dxa"/>
          <w:right w:w="0" w:type="dxa"/>
        </w:tblCellMar>
      </w:tblPr>
      <w:tblGrid>
        <w:gridCol w:w="1923"/>
        <w:gridCol w:w="326"/>
        <w:gridCol w:w="348"/>
        <w:gridCol w:w="498"/>
        <w:gridCol w:w="326"/>
        <w:gridCol w:w="211"/>
        <w:gridCol w:w="421"/>
        <w:gridCol w:w="326"/>
        <w:gridCol w:w="329"/>
        <w:gridCol w:w="752"/>
        <w:gridCol w:w="326"/>
        <w:gridCol w:w="318"/>
        <w:gridCol w:w="523"/>
        <w:gridCol w:w="326"/>
        <w:gridCol w:w="211"/>
        <w:gridCol w:w="421"/>
        <w:gridCol w:w="326"/>
        <w:gridCol w:w="329"/>
        <w:gridCol w:w="752"/>
        <w:gridCol w:w="326"/>
        <w:gridCol w:w="253"/>
        <w:gridCol w:w="634"/>
      </w:tblGrid>
      <w:tr>
        <w:trPr/>
        <w:tc>
          <w:tcPr>
            <w:tcW w:w="1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21105" cy="175260"/>
                      <wp:effectExtent l="0" t="0" r="0" b="0"/>
                      <wp:wrapNone/>
                      <wp:docPr id="230" name="Frame226"/>
                      <a:graphic xmlns:a="http://schemas.openxmlformats.org/drawingml/2006/main">
                        <a:graphicData uri="http://schemas.microsoft.com/office/word/2010/wordprocessingShape">
                          <wps:wsp>
                            <wps:cNvSpPr txBox="1"/>
                            <wps:spPr>
                              <a:xfrm>
                                <a:off x="0" y="0"/>
                                <a:ext cx="1221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1"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20980" cy="175260"/>
                      <wp:effectExtent l="0" t="0" r="0" b="0"/>
                      <wp:wrapNone/>
                      <wp:docPr id="232" name="Frame228"/>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16230" cy="175260"/>
                      <wp:effectExtent l="0" t="0" r="0" b="0"/>
                      <wp:wrapNone/>
                      <wp:docPr id="233" name="Frame229"/>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4"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5"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67335" cy="175260"/>
                      <wp:effectExtent l="0" t="0" r="0" b="0"/>
                      <wp:wrapNone/>
                      <wp:docPr id="236" name="Frame23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7"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8915" cy="175260"/>
                      <wp:effectExtent l="0" t="0" r="0" b="0"/>
                      <wp:wrapNone/>
                      <wp:docPr id="238" name="Frame23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77520" cy="175260"/>
                      <wp:effectExtent l="0" t="0" r="0" b="0"/>
                      <wp:wrapNone/>
                      <wp:docPr id="239" name="Frame235"/>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0"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1930" cy="175260"/>
                      <wp:effectExtent l="0" t="0" r="0" b="0"/>
                      <wp:wrapNone/>
                      <wp:docPr id="241" name="Frame237"/>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32105" cy="175260"/>
                      <wp:effectExtent l="0" t="0" r="0" b="0"/>
                      <wp:wrapNone/>
                      <wp:docPr id="242" name="Frame238"/>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3"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4"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67335" cy="175260"/>
                      <wp:effectExtent l="0" t="0" r="0" b="0"/>
                      <wp:wrapNone/>
                      <wp:docPr id="245" name="Frame24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6"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8915" cy="175260"/>
                      <wp:effectExtent l="0" t="0" r="0" b="0"/>
                      <wp:wrapNone/>
                      <wp:docPr id="247" name="Frame24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77520" cy="175260"/>
                      <wp:effectExtent l="0" t="0" r="0" b="0"/>
                      <wp:wrapNone/>
                      <wp:docPr id="248" name="Frame244"/>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49"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0655" cy="175260"/>
                      <wp:effectExtent l="0" t="0" r="0" b="0"/>
                      <wp:wrapNone/>
                      <wp:docPr id="250" name="Frame24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02590" cy="175260"/>
                      <wp:effectExtent l="0" t="0" r="0" b="0"/>
                      <wp:wrapNone/>
                      <wp:docPr id="251" name="Frame247"/>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8" w:type="dxa"/>
            <w:tcBorders/>
            <w:vAlign w:val="center"/>
          </w:tcPr>
          <w:p>
            <w:pPr>
              <w:pStyle w:val="TableContents"/>
              <w:bidi w:val="0"/>
              <w:spacing w:before="0" w:after="1"/>
              <w:ind w:left="0" w:right="0" w:hanging="0"/>
              <w:jc w:val="center"/>
              <w:rPr/>
            </w:pPr>
            <w:r>
              <w:rPr/>
              <w:t>    </w:t>
            </w:r>
          </w:p>
        </w:tc>
        <w:tc>
          <w:tcPr>
            <w:tcW w:w="4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784"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8" w:type="dxa"/>
            <w:tcBorders/>
            <w:vAlign w:val="center"/>
          </w:tcPr>
          <w:p>
            <w:pPr>
              <w:pStyle w:val="TableContents"/>
              <w:bidi w:val="0"/>
              <w:spacing w:before="0" w:after="1"/>
              <w:ind w:left="0" w:right="0" w:hanging="0"/>
              <w:jc w:val="center"/>
              <w:rPr/>
            </w:pPr>
            <w:r>
              <w:rPr/>
              <w:t>​</w:t>
            </w:r>
          </w:p>
        </w:tc>
        <w:tc>
          <w:tcPr>
            <w:tcW w:w="4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325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4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3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1"/>
              <w:ind w:left="0" w:right="0" w:hanging="0"/>
              <w:jc w:val="center"/>
              <w:rPr/>
            </w:pPr>
            <w:r>
              <w:rPr/>
              <w:t>​</w:t>
            </w:r>
          </w:p>
        </w:tc>
        <w:tc>
          <w:tcPr>
            <w:tcW w:w="63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vAlign w:val="center"/>
          </w:tcPr>
          <w:p>
            <w:pPr>
              <w:pStyle w:val="TableContents"/>
              <w:bidi w:val="0"/>
              <w:spacing w:before="0" w:after="1"/>
              <w:ind w:left="0" w:right="0" w:hanging="0"/>
              <w:jc w:val="center"/>
              <w:rPr/>
            </w:pPr>
            <w:r>
              <w:rPr/>
              <w:t>​</w:t>
            </w:r>
          </w:p>
        </w:tc>
        <w:tc>
          <w:tcPr>
            <w:tcW w:w="63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center"/>
              <w:rPr/>
            </w:pPr>
            <w:r>
              <w:rPr/>
              <w:t>​</w:t>
            </w:r>
          </w:p>
        </w:tc>
        <w:tc>
          <w:tcPr>
            <w:tcW w:w="63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Carrying</w:t>
            </w:r>
          </w:p>
        </w:tc>
      </w:tr>
      <w:tr>
        <w:trPr/>
        <w:tc>
          <w:tcPr>
            <w:tcW w:w="19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9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Reacquired rights</w:t>
            </w:r>
          </w:p>
        </w:tc>
        <w:tc>
          <w:tcPr>
            <w:tcW w:w="326" w:type="dxa"/>
            <w:tcBorders/>
            <w:shd w:fill="CCEEFF" w:val="clear"/>
            <w:vAlign w:val="center"/>
          </w:tcPr>
          <w:p>
            <w:pPr>
              <w:pStyle w:val="TableContents"/>
              <w:bidi w:val="0"/>
              <w:spacing w:before="0" w:after="1"/>
              <w:ind w:left="0" w:right="0" w:hanging="0"/>
              <w:jc w:val="center"/>
              <w:rPr/>
            </w:pPr>
            <w:r>
              <w:rPr/>
              <w:t>​</w:t>
            </w:r>
          </w:p>
        </w:tc>
        <w:tc>
          <w:tcPr>
            <w:tcW w:w="348" w:type="dxa"/>
            <w:tcBorders/>
            <w:shd w:fill="CCEEFF" w:val="clear"/>
            <w:vAlign w:val="center"/>
          </w:tcPr>
          <w:p>
            <w:pPr>
              <w:pStyle w:val="TableContents"/>
              <w:bidi w:val="0"/>
              <w:spacing w:before="0" w:after="1"/>
              <w:ind w:left="0" w:right="0" w:hanging="0"/>
              <w:jc w:val="center"/>
              <w:rPr/>
            </w:pPr>
            <w:r>
              <w:rPr/>
              <w:t>​</w:t>
            </w:r>
          </w:p>
        </w:tc>
        <w:tc>
          <w:tcPr>
            <w:tcW w:w="4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26"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326"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9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 proprietary software</w:t>
            </w:r>
          </w:p>
        </w:tc>
        <w:tc>
          <w:tcPr>
            <w:tcW w:w="326" w:type="dxa"/>
            <w:tcBorders/>
            <w:vAlign w:val="center"/>
          </w:tcPr>
          <w:p>
            <w:pPr>
              <w:pStyle w:val="TableContents"/>
              <w:bidi w:val="0"/>
              <w:spacing w:before="0" w:after="1"/>
              <w:ind w:left="0" w:right="0" w:hanging="0"/>
              <w:jc w:val="left"/>
              <w:rPr/>
            </w:pPr>
            <w:r>
              <w:rPr/>
              <w:t> </w:t>
            </w:r>
          </w:p>
        </w:tc>
        <w:tc>
          <w:tcPr>
            <w:tcW w:w="348" w:type="dxa"/>
            <w:tcBorders/>
            <w:vAlign w:val="center"/>
          </w:tcPr>
          <w:p>
            <w:pPr>
              <w:pStyle w:val="TableContents"/>
              <w:bidi w:val="0"/>
              <w:spacing w:before="0" w:after="1"/>
              <w:ind w:left="0" w:right="0" w:hanging="0"/>
              <w:jc w:val="left"/>
              <w:rPr/>
            </w:pPr>
            <w:r>
              <w:rPr/>
              <w:t>​</w:t>
            </w:r>
          </w:p>
        </w:tc>
        <w:tc>
          <w:tcPr>
            <w:tcW w:w="4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1"/>
              <w:ind w:left="0" w:right="0" w:hanging="0"/>
              <w:jc w:val="left"/>
              <w:rPr/>
            </w:pPr>
            <w:r>
              <w:rPr/>
              <w:t> </w:t>
            </w:r>
          </w:p>
        </w:tc>
        <w:tc>
          <w:tcPr>
            <w:tcW w:w="329" w:type="dxa"/>
            <w:tcBorders/>
            <w:vAlign w:val="center"/>
          </w:tcPr>
          <w:p>
            <w:pPr>
              <w:pStyle w:val="TableContents"/>
              <w:bidi w:val="0"/>
              <w:spacing w:before="0" w:after="1"/>
              <w:ind w:left="0" w:right="0" w:hanging="0"/>
              <w:jc w:val="righ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1"/>
              <w:ind w:left="0" w:right="0" w:hanging="0"/>
              <w:jc w:val="left"/>
              <w:rPr/>
            </w:pPr>
            <w:r>
              <w:rPr/>
              <w:t> </w:t>
            </w:r>
          </w:p>
        </w:tc>
        <w:tc>
          <w:tcPr>
            <w:tcW w:w="318" w:type="dxa"/>
            <w:tcBorders/>
            <w:vAlign w:val="center"/>
          </w:tcPr>
          <w:p>
            <w:pPr>
              <w:pStyle w:val="TableContents"/>
              <w:bidi w:val="0"/>
              <w:spacing w:before="0" w:after="1"/>
              <w:ind w:left="0" w:right="0" w:hanging="0"/>
              <w:jc w:val="righ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 </w:t>
            </w:r>
          </w:p>
        </w:tc>
        <w:tc>
          <w:tcPr>
            <w:tcW w:w="329" w:type="dxa"/>
            <w:tcBorders/>
            <w:vAlign w:val="center"/>
          </w:tcPr>
          <w:p>
            <w:pPr>
              <w:pStyle w:val="TableContents"/>
              <w:bidi w:val="0"/>
              <w:spacing w:before="0" w:after="1"/>
              <w:ind w:left="0" w:right="0" w:hanging="0"/>
              <w:jc w:val="righ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1"/>
              <w:ind w:left="0" w:right="0" w:hanging="0"/>
              <w:jc w:val="left"/>
              <w:rPr/>
            </w:pPr>
            <w:r>
              <w:rPr/>
              <w:t> </w:t>
            </w:r>
          </w:p>
        </w:tc>
        <w:tc>
          <w:tcPr>
            <w:tcW w:w="253"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9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326" w:type="dxa"/>
            <w:tcBorders/>
            <w:shd w:fill="CCEEFF" w:val="clear"/>
            <w:vAlign w:val="center"/>
          </w:tcPr>
          <w:p>
            <w:pPr>
              <w:pStyle w:val="TableContents"/>
              <w:bidi w:val="0"/>
              <w:spacing w:before="0" w:after="1"/>
              <w:ind w:left="0" w:right="0" w:hanging="0"/>
              <w:jc w:val="left"/>
              <w:rPr/>
            </w:pPr>
            <w:r>
              <w:rPr/>
              <w:t> </w:t>
            </w:r>
          </w:p>
        </w:tc>
        <w:tc>
          <w:tcPr>
            <w:tcW w:w="348" w:type="dxa"/>
            <w:tcBorders/>
            <w:shd w:fill="CCEEFF" w:val="clear"/>
            <w:vAlign w:val="center"/>
          </w:tcPr>
          <w:p>
            <w:pPr>
              <w:pStyle w:val="TableContents"/>
              <w:bidi w:val="0"/>
              <w:spacing w:before="0" w:after="1"/>
              <w:ind w:left="0" w:right="0" w:hanging="0"/>
              <w:jc w:val="left"/>
              <w:rPr/>
            </w:pPr>
            <w:r>
              <w:rPr/>
              <w:t>​</w:t>
            </w:r>
          </w:p>
        </w:tc>
        <w:tc>
          <w:tcPr>
            <w:tcW w:w="4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1"/>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1"/>
              <w:ind w:left="0" w:right="0" w:hanging="0"/>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1"/>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1"/>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9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vAlign w:val="center"/>
          </w:tcPr>
          <w:p>
            <w:pPr>
              <w:pStyle w:val="TableContents"/>
              <w:bidi w:val="0"/>
              <w:spacing w:before="0" w:after="1"/>
              <w:ind w:left="0" w:right="0" w:hanging="0"/>
              <w:jc w:val="left"/>
              <w:rPr/>
            </w:pPr>
            <w:r>
              <w:rPr/>
              <w:t>​</w:t>
            </w:r>
          </w:p>
        </w:tc>
        <w:tc>
          <w:tcPr>
            <w:tcW w:w="348" w:type="dxa"/>
            <w:tcBorders/>
            <w:vAlign w:val="center"/>
          </w:tcPr>
          <w:p>
            <w:pPr>
              <w:pStyle w:val="TableContents"/>
              <w:bidi w:val="0"/>
              <w:spacing w:before="0" w:after="1"/>
              <w:ind w:left="0" w:right="0" w:hanging="0"/>
              <w:jc w:val="left"/>
              <w:rPr/>
            </w:pPr>
            <w:r>
              <w:rPr/>
              <w:t>​</w:t>
            </w:r>
          </w:p>
        </w:tc>
        <w:tc>
          <w:tcPr>
            <w:tcW w:w="4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vAlign w:val="center"/>
          </w:tcPr>
          <w:p>
            <w:pPr>
              <w:pStyle w:val="TableContents"/>
              <w:bidi w:val="0"/>
              <w:spacing w:before="0" w:after="1"/>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326" w:type="dxa"/>
            <w:tcBorders/>
            <w:vAlign w:val="center"/>
          </w:tcPr>
          <w:p>
            <w:pPr>
              <w:pStyle w:val="TableContents"/>
              <w:bidi w:val="0"/>
              <w:spacing w:before="0" w:after="1"/>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w:t>
            </w:r>
          </w:p>
        </w:tc>
        <w:tc>
          <w:tcPr>
            <w:tcW w:w="326" w:type="dxa"/>
            <w:tcBorders/>
            <w:vAlign w:val="center"/>
          </w:tcPr>
          <w:p>
            <w:pPr>
              <w:pStyle w:val="TableContents"/>
              <w:bidi w:val="0"/>
              <w:spacing w:before="0" w:after="1"/>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140</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Estimated amortization expense for the year ending December 31, 2024 is $24 thousand.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1 – Quoted market prices in active markets for identical assets or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2 – Inputs, other than quoted prices in active markets, that are observable, either directly or indirectly.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3 – Unobservable inputs that are not corroborated by market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Consolidated Financial Statements include financial instruments for which the fair market value of such instruments may differ from amounts reflected on a historical cost basis. Financial instruments of the Company as of December 31, 2023 and 2022 consist of cash equivalents, which were comprised of deposits of excess cash in an unrestricted money market savings account, money market mutual funds, treasury bills and a certificate of deposit. The carrying value of cash equivalents generally approximates fair value due to their short-term 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derivative liability as of December 31, 2023 and 2022 is comprised of warrants issued in connection with the registered public offering completed in August 2022 discussed in Note 8. The derivative liability is classified as Level 3 within the fair value hierarchy and is required to be recorded at fair value on a recurring basis. See Note 8 for further information on the fair value of the derivative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majority of the Company’s non-financial instruments, which include intangible assets, lease assets, inventories and property and equipment, are not required to be carried at fair value on a recurring basis. However, if certain triggering events occur (or at least annually for indefinite-lived intangible assets), a non-financial instrument is required to be evaluated for impairment. If the Company determines that the non-financial instrument is impaired, the Company would be required to write down the non-financial instrument to its fair value. See Note 3 – Goodwill and Fixed Asset Impairment for further detail.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COMMON STOCK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may issue common stock in connection with underwritten public offerings, registered direct public offerings or other financing transactions. Such issuances of common stock may include the issuance or sale of warrants to purchase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Transactions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At-The-Market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23, 2023, the Company entered into a Sales Agreement (the “Sales Agreement”) with Roth Capital Partners, LLC (“Roth”) to create an at-the-market offering program (“ATM”) under which the Company may offer and sell shares having an aggregate offering price of up to $2.0 million. Roth is entitled to a commission at a fixed commission rate equal to up to 3% of the gross proceeds pursuant to the Sales Agreement. As of December 31, 2023, 53,010 share issuances of securities have occurred in connection with the ATM generating net proceeds of $0.4 million inclusive of $0.1 million of share issuance costs. On February 8, 2024, 148,201 shares were issued with the ATM, generating net proceeds of $1.3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Series B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23, 2023, the Board of Directors declared a dividend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one-thousandth of a share of Series B Preferred Stock (“Series B Preferred Stock”) for each outstanding share of Common Stock held of record on April 3, 2023, and the Certificate of Designation was filed with the Delaware Secretary of State and became effective on March 24, 2023. The value of the Series B Preferred Stock issued in connection with the stock dividend was immaterial.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Series B Preferred Stock is not transferrable by the holder except in connection with a transfer by such holder of any shares of common stock held by such holder. The Series B Preferred Stock is not convertible into, or exchangeable for, shares of any other class or series of stock or other securities of the Company. The Series B Preferred Stock has no stated maturity and is not subject to any sinking fund. The Series B Preferred Stock is not subject to any restriction on the redemption or repurchase of shares by the Company while there is any arrearage in the payment of dividends or sinking fund installments. The holder of Series B Preferred Stock is not entitled to receive 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share of Series B Preferred Stock entitled the holder to 1,000,000 votes per share and each fraction of a share of Series B Preferred Stock had a ratable number of votes. The outstanding shares of Series B Preferred Stock voted together with the outstanding shares of the Company’s common stock, as a single class, exclusively with respect to the proposal giving the Board of Directors the authority, as it would determine appropriate, to implement a reverse stock split within twelve months following the approval of such proposal by the Company’s stockholders (the “Reverse Stock Split Proposal”), as well as any proposal to adjourn any meeting of stockholders called for the purpose of voting on the foregoing matters (the “Adjournment Proposal”).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annual meeting of stockholders of the Company held on May 24, 2023, the Company’s stockholders approved an amendment to the Company’s Certificate of Incorporation to effect a reverse stock split of its outstanding common stock. All shares of Series B Preferred Stock that did not vote in person or by proxy were redeemed in whole by the Company. Shares of Series B Preferred Stock that did vote in person or by proxy will need to request redemption from the Company at a rate of $0.001 per share in cash. As of December 31, 2023, no shareholders of Series B Preferred Stock have requested such redemption.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annual meeting of stockholders on May 24, 2023, our stockholders voted to approve a reverse stock split of our outstanding Class A common stock at a ratio in the range of 1-for-</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 to 1-for-</w:t>
      </w:r>
      <w:r>
        <w:rPr>
          <w:rFonts w:ascii="Times New Roman;Times;serif" w:hAnsi="Times New Roman;Times;serif"/>
          <w:b w:val="false"/>
          <w:i w:val="false"/>
          <w:caps w:val="false"/>
          <w:smallCaps w:val="false"/>
          <w:sz w:val="20"/>
        </w:rPr>
        <w:t>80</w:t>
      </w:r>
      <w:r>
        <w:rPr>
          <w:rFonts w:ascii="Times New Roman;Times;serif" w:hAnsi="Times New Roman;Times;serif"/>
          <w:sz w:val="20"/>
        </w:rPr>
        <w:t xml:space="preserve"> to be determined at the discretion of the Board of Directors. On August 11, 2023, the Board approved a 1-for-</w:t>
      </w:r>
      <w:r>
        <w:rPr>
          <w:rFonts w:ascii="Times New Roman;Times;serif" w:hAnsi="Times New Roman;Times;serif"/>
          <w:b w:val="false"/>
          <w:i w:val="false"/>
          <w:caps w:val="false"/>
          <w:smallCaps w:val="false"/>
          <w:sz w:val="20"/>
        </w:rPr>
        <w:t>50</w:t>
      </w:r>
      <w:r>
        <w:rPr>
          <w:rFonts w:ascii="Times New Roman;Times;serif" w:hAnsi="Times New Roman;Times;serif"/>
          <w:sz w:val="20"/>
        </w:rPr>
        <w:t xml:space="preserve"> reverse stock split of the Company’s issued and outstanding Common Stock (the “Reverse Stock Split”) that became effective 5:00 p.m. Eastern Time on August 16, 2023.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issued and outstanding Common Stock and per share amounts contained in the financial statements have been retroactively adjusted to reflect this Reverse Stock Split for all periods presented. In addition, a proportionate adjustment was made to the per share exercise price and the number of shares issuable upon the exercise of all outstanding stock options, restricted stock units and warrants to purchase shares of Common Stock. Per the warrant agreement for the Public Warrants, the exercise price for these warrants was reset to the volume-weighted average price for the five days following the Reverse Stock Split. A proportionate adjustment was also made to the number of shares reserved for issuance pursuant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82" w:name="Tc_jw4XrGpk5Eyhov-EVLKmkA_7_7"/>
      <w:bookmarkStart w:id="783" w:name="Tc_aOQttsHjykuciRyo5W9wMA_7_4"/>
      <w:bookmarkStart w:id="784" w:name="Tc_uRpFScTMBE2KvyxrwD2log_7_0"/>
      <w:bookmarkStart w:id="785" w:name="Tc_Gbmdkexl5Em1aPmueTMllw_6_7"/>
      <w:bookmarkStart w:id="786" w:name="Tc_YcMqUpMJykuaRujLCvvVww_6_4"/>
      <w:bookmarkStart w:id="787" w:name="Tc_0Xyaqahw-UaeNNm8TnGX0A_6_0"/>
      <w:bookmarkStart w:id="788" w:name="Tc_4NOVGuDQmUKAG-XzauNJaQ_5_7"/>
      <w:bookmarkStart w:id="789" w:name="Tc_wXXwOfl6sEqOpzZ9ziO4pQ_5_4"/>
      <w:bookmarkStart w:id="790" w:name="Tc_OgVSwkWN-kStx4O841Gwnw_5_0"/>
      <w:bookmarkStart w:id="791" w:name="Tc_nknIba-Lz0WqBACCXsO-4w_4_0"/>
      <w:bookmarkStart w:id="792" w:name="Tc_3XgS_iBpHE2JzcqKelwb3g_3_5"/>
      <w:bookmarkStart w:id="793" w:name="Tc_e8YvI1jNS02yJlxYvtEp0w_3_2"/>
      <w:bookmarkStart w:id="794" w:name="Tc_Bt0h3hBgQ0ew2_M23KoOlQ_3_0"/>
      <w:bookmarkStart w:id="795" w:name="Tc_Qms5sY9d3EWCM3QAzhC9KQ_2_5"/>
      <w:bookmarkStart w:id="796" w:name="Tc_rkKz2CWiEkqNm3jzTbkhJg_2_2"/>
      <w:bookmarkStart w:id="797" w:name="Tc_BcaQlMBIfkiBT1Cp2e4QRg_1_2"/>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rFonts w:ascii="Times New Roman;Times;serif" w:hAnsi="Times New Roman;Times;serif"/>
          <w:sz w:val="20"/>
        </w:rPr>
        <w:t>to the Company’s equity incentive compensation plans to reflect the Reverse Stock Split. Any fraction of a share of Common Stock that was created as a result of the Reverse Stock Split was rounded down to the next whole share and stockholders received cash settlement equal to the market value of the fractional share, determined by multiplying such fraction by the closing sales price of the Company’s Common Stock as reported on Nasdaq on the last trading day before the Reverse Stock Split effective date. The authorized shares and par value of the Common Stock and preferred stock were not adjusted as a result of the Reverse Stock Split.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August 2022 Issuance of Common Stock and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9, 2022, the Company closed on a registered public offering (“August 2022 Public Offering”) and issued an aggregate of 480,000 shares of common stock for gross proceeds of $18 million. The Company paid $1.7 million of share issuance costs, which consisted of placement agent fees and expenses and other offering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August 2022 Public Offering, the Company issued warrants to purchase an aggregate of 720,000 shares of common stock (“Public Warrants”). The Company performed an analysis of the provisions of the Public Warrants and concluded that the Public Warrants did not meet the guidance for being classified as an equity instrument due to a potential price reset prompted by a change in an unrelated instrument’s conversion rate or, in the event of a fundamental transaction, settlement rights that differ from those of the underlying common stockholders. As a result of the derivative liability classification of the Public Warrants, the gross proceeds were first allocated to the fair value of the Public Warrants as of August 9, 2022 of $9.9 million and the remaining $8.1 million in gross proceeds were allocated to stockholders’ equity. The share issuance costs associated with the August 2022 Public Offering were allocated between the issuance of common stock and Public Warrants on a pro rata basis with the allocation of the gross proceeds, which resulted in $0.8 million of share issuance costs being recorded as a reduction of additional paid-in capital and $0.9 million of share issuance costs being recorded in interest expense on the Consolidated Statements of Operations and Comprehensive Loss.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the derivative liability as of December 31, 2023 and 2022 was $3.3 million and $6.9 million, respectively. The change in the fair value of the derivative liability was recognized as a component of nonoperating income (expense) in the Company’s Consolidated Statements of Operations and Comprehensive Loss.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the Public Warrants was determined using both a Monte Carlo simulation model, which uses multiple input variables to determine the probability of the occurrence of a price reset or a fundamental transaction and the Black-Scholes option pricing model. The following table includes the stock price and the inputs used to estimate the fair value of the warrants:</w:t>
      </w:r>
    </w:p>
    <w:p>
      <w:pPr>
        <w:pStyle w:val="TextBody"/>
        <w:bidi w:val="0"/>
        <w:spacing w:before="0" w:after="0"/>
        <w:ind w:left="0" w:right="0" w:hanging="0"/>
        <w:jc w:val="left"/>
        <w:rPr/>
      </w:pPr>
      <w:r>
        <w:rPr/>
        <w:t>​</w:t>
      </w:r>
    </w:p>
    <w:tbl>
      <w:tblPr>
        <w:tblW w:w="4443" w:type="dxa"/>
        <w:jc w:val="left"/>
        <w:tblInd w:w="0" w:type="dxa"/>
        <w:tblLayout w:type="fixed"/>
        <w:tblCellMar>
          <w:top w:w="0" w:type="dxa"/>
          <w:left w:w="0" w:type="dxa"/>
          <w:bottom w:w="0" w:type="dxa"/>
          <w:right w:w="0" w:type="dxa"/>
        </w:tblCellMar>
      </w:tblPr>
      <w:tblGrid>
        <w:gridCol w:w="1966"/>
        <w:gridCol w:w="326"/>
        <w:gridCol w:w="211"/>
        <w:gridCol w:w="571"/>
        <w:gridCol w:w="271"/>
        <w:gridCol w:w="211"/>
        <w:gridCol w:w="571"/>
        <w:gridCol w:w="31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48410" cy="175260"/>
                      <wp:effectExtent l="0" t="0" r="0" b="0"/>
                      <wp:wrapNone/>
                      <wp:docPr id="252" name="Frame248"/>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3"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4"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62585" cy="175260"/>
                      <wp:effectExtent l="0" t="0" r="0" b="0"/>
                      <wp:wrapNone/>
                      <wp:docPr id="255" name="Frame2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72085" cy="175260"/>
                      <wp:effectExtent l="0" t="0" r="0" b="0"/>
                      <wp:wrapNone/>
                      <wp:docPr id="256" name="Frame25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7"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62585" cy="175260"/>
                      <wp:effectExtent l="0" t="0" r="0" b="0"/>
                      <wp:wrapNone/>
                      <wp:docPr id="258" name="Frame2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0660" cy="175260"/>
                      <wp:effectExtent l="0" t="0" r="0" b="0"/>
                      <wp:wrapNone/>
                      <wp:docPr id="259" name="Frame2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left"/>
              <w:rPr/>
            </w:pPr>
            <w:r>
              <w:rPr/>
              <w:t>​</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 </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 price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term (in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316" w:type="dxa"/>
            <w:tcBorders/>
            <w:vAlign w:val="center"/>
          </w:tcPr>
          <w:p>
            <w:pPr>
              <w:pStyle w:val="TableContents"/>
              <w:bidi w:val="0"/>
              <w:spacing w:before="0" w:after="1"/>
              <w:ind w:left="0" w:right="0" w:hanging="0"/>
              <w:jc w:val="left"/>
              <w:rPr/>
            </w:pPr>
            <w:r>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Lincoln Park Purchase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2022 the Company issued 7,827 shares at an average price per share of $82.32 to Lincoln Park Capital Fund, LLC (“Lincoln Park”) pursuant to a purchase agreement (the “LPC Purchase Agreement”) and registration rights agreement with Lincoln Park entered into on September 1, 2021. Lincoln Park has no right to require the Company to sell any shares of common stock to Lincoln Park, but Lincoln Park is obligated to make purchases as the Company directs, subject to the provisions of the LPC Purchase Agreement and applicable rules of the Nasdaq Capital Market. The Company does not intend to issue any additional shares under the LPC Purchase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627,090 of outstanding liability classified Public Warrants have an exercise price that was reset to $6.9135 per share as a result of the Company’s Reverse Stock Split on August 16, 2023 are exercisable upon issuance and will expire five years following the date of issuance. 92,910 Public Warrants were exercised and the Company </w:t>
      </w:r>
      <w:r>
        <w:rPr>
          <w:rFonts w:ascii="Times New Roman;Times;serif" w:hAnsi="Times New Roman;Times;serif"/>
          <w:sz w:val="20"/>
          <w:shd w:fill="FFFFFF" w:val="clear"/>
        </w:rPr>
        <w:t>received gross proceeds of $0.6 million.</w:t>
      </w:r>
      <w:r>
        <w:rPr>
          <w:rFonts w:ascii="Times New Roman;Times;serif" w:hAnsi="Times New Roman;Times;serif"/>
          <w:sz w:val="20"/>
        </w:rPr>
        <w:t xml:space="preserve"> No warrants were cancelled during the year ended December 31,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outstanding equity-classified warrants to purchase 9,969 shares of common stock at a weighted average exercise price of $819.77, with expiration dates ranging from March 2025 to February 2026. During the year ended December 31, 2023, no warrants were exercised and 1,884 warrants were cancelled due to expiration.</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 xml:space="preserve">The Company may issue stock-based compensation awards under The Helius Medical Technologies, Inc. 2022 Equity Incentive Plan (“2022 Plan”) or the Helius Medical Technologies, Inc. 2021 Inducement Plan (as amended, the “Inducement Plan”). The 2022 Plan provides for the grant of incentive stock options (“ISOs”), nonstatutory stock options (“NSOs”), stock appreciation rights, restricted stock awards, restricted stock unit awards, performance awards and other forms of awards to employees, directors and consultants. Options to purchase shares of the Company’s common stock granted under the 2022 Plan are awarded at a price equal to the fair market value at the date of grant based upon the closing price on that date. Options granted under the 2022 Plan generally vest over periods of between </w:t>
      </w:r>
      <w:r>
        <w:rPr>
          <w:rFonts w:ascii="Times New Roman;Times;serif" w:hAnsi="Times New Roman;Times;serif"/>
          <w:b w:val="false"/>
          <w:i w:val="false"/>
          <w:caps w:val="false"/>
          <w:smallCaps w:val="false"/>
          <w:sz w:val="20"/>
        </w:rPr>
        <w:t>one</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three years</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and expire no later than ten years</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from the date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2022 Plan contains an automatic increase provision which provides for an annual increase to the maximum number of authorized shares on January 1 of each year beginning on January 1, 2023 through January 1, 2027, to an amount equal to (i) 20% of the fully diluted number of shares of common stock outstanding on December 31 of the fiscal year before the date of each automatic increase, or (ii) a lesser number of shares determined by the board of directors prior to the date of the increase. As of January 1, 2024, the number of shares authorized for issuance increased from 264,319 to 319,941 and there were 74,643 shares of common stock available for issuance under the 2022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Inducement Plan permits the grant of non-statutory stock options, stock appreciation rights, restricted stock, restricted stock units, performance stock and cash awards and other share</w:t>
        <w:noBreakHyphen/>
        <w:t>based awards The Inducement Plan is used exclusively for grants of awards to individuals who were not previously employees or directors of the Company. Options granted under the Inducement Plan generally vest over four years and expire after ten years. The exercise price of each option is equal to the fair market value of the common stock at the date of grant. As of December 31, 2023, there were 9,240 shares of common stock available for issuance under the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each stock option award is estimated on the date of grant using the Black-Scholes option valuation model that uses the assumptions noted in the following tables. The risk-free interest rate is estimated using the United States Treasury yield curve and is based on the expected term of the award. The expected term of stock option awards granted is estimated based on the “simplified” method described in the SEC Staff Accounting Bulletin, Topic 14: Share-Based Payment. Expected volatility is calculated using historical volatility over the expected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98" w:name="Tc_UlA0LvQnRU67zsPktonHkQ_7_5"/>
      <w:bookmarkStart w:id="799" w:name="Tc_h6X2HDAQlUu0HnaligDvkw_7_2"/>
      <w:bookmarkStart w:id="800" w:name="Tc_ncq-BwJexUCZFWxKEfbGXw_7_0"/>
      <w:bookmarkStart w:id="801" w:name="Tc_mhifaeeYHECnYpUut221OQ_6_0"/>
      <w:bookmarkStart w:id="802" w:name="Tc_naIQqqj7h06SIXHI8xlksQ_5_0"/>
      <w:bookmarkStart w:id="803" w:name="Tc_18-RN2oebUqqrzqIaIhP_A_4_5"/>
      <w:bookmarkStart w:id="804" w:name="Tc_fjc1BmNc-Uus5Dsbo74NEw_4_2"/>
      <w:bookmarkStart w:id="805" w:name="Tc_gSliV9kM30GzXTe8iMiDiA_4_0"/>
      <w:bookmarkStart w:id="806" w:name="Tc_sEnpTqijFkuEG8hCElRRoQ_3_5"/>
      <w:bookmarkStart w:id="807" w:name="Tc_FS4jRHW590u3_FTIY1hWHQ_3_2"/>
      <w:bookmarkStart w:id="808" w:name="Tc_QryzTsMB8EaVlEl5AaWLiQ_2_2"/>
      <w:bookmarkStart w:id="809" w:name="Tc_4rMNVom1DE2TSYcB0B5nJw_1_2"/>
      <w:bookmarkStart w:id="810" w:name="Tc_aPjVO2fVbU2ToToqq-7lPg_8_4"/>
      <w:bookmarkStart w:id="811" w:name="Tc_OolZ1JgOZEWREP9_M-fdqw_8_0"/>
      <w:bookmarkStart w:id="812" w:name="Tc_lLvLPPeHTk21KRoa6S1kvw_7_5"/>
      <w:bookmarkStart w:id="813" w:name="Tc_E-gX-lLUGEyw_Xu8kjNVFg_7_2"/>
      <w:bookmarkStart w:id="814" w:name="Tc_UuKiqkaW7E-Oh2nPK5IDUA_7_0"/>
      <w:bookmarkStart w:id="815" w:name="Tc_zFmUPa9a7UKQem3irSMSzA_6_0"/>
      <w:bookmarkStart w:id="816" w:name="Tc_Lcyg-5nX002vqThZDNh1pQ_5_0"/>
      <w:bookmarkStart w:id="817" w:name="Tc_nFE_P1SXn0693zAlz5MGsQ_4_4"/>
      <w:bookmarkStart w:id="818" w:name="Tc_cl1wsuT1wESQW8GRmdWJaw_4_0"/>
      <w:bookmarkStart w:id="819" w:name="Tc_RaJku8oDBkq99jx0Rnq8Ow_3_4"/>
      <w:bookmarkStart w:id="820" w:name="Tc__rVgsvP7Ske99pTdufOOwg_3_2"/>
      <w:bookmarkStart w:id="821" w:name="Tc_PCA4EQAff06ZYIkOV7j5Sw_2_4"/>
      <w:bookmarkStart w:id="822" w:name="Tc_Qsb0wQ9TXkGxG8Td_qLW-w_1_4"/>
      <w:bookmarkStart w:id="823" w:name="Tc_vydQV_eEHESJX0zWW_vysg_10_9"/>
      <w:bookmarkStart w:id="824" w:name="Tc_0AkNQans8UW2Rcx3RImi6A_10_0"/>
      <w:bookmarkStart w:id="825" w:name="Tc__-FFqAFQr0Sx1TWYWuXTLg_9_9"/>
      <w:bookmarkStart w:id="826" w:name="Tc_S3OAMNcSh0-Kx4BblpvN8w_9_0"/>
      <w:bookmarkStart w:id="827" w:name="Tc_VsxpbyJCDkGuQCcOhQXvPg_8_10"/>
      <w:bookmarkStart w:id="828" w:name="Tc_HYtu3aReUUepux_yGaFJ6w_8_7"/>
      <w:bookmarkStart w:id="829" w:name="Tc_efnxZcDT-kCu1zO_4snxgQ_8_0"/>
      <w:bookmarkStart w:id="830" w:name="Tc_JAkFBFPioE66tjb-0VLunw_7_10"/>
      <w:bookmarkStart w:id="831" w:name="Tc_4aIx6Xb2CUKbB_FYRVBU8w_7_7"/>
      <w:bookmarkStart w:id="832" w:name="Tc_fJWa0Fjjdkm6q_4zcMxT1Q_7_5"/>
      <w:bookmarkStart w:id="833" w:name="Tc_QwRIn4YkBUOpVaCf0LRmsg_7_2"/>
      <w:bookmarkStart w:id="834" w:name="Tc_ZwBljWq1nUGNMZqz-6A2Kw_7_0"/>
      <w:bookmarkStart w:id="835" w:name="Tc_rxRBaZRE6EmEPlqy-ZPfLw_6_10"/>
      <w:bookmarkStart w:id="836" w:name="Tc_OjNhJBXcY0OKIK0lx_WBhA_6_7"/>
      <w:bookmarkStart w:id="837" w:name="Tc_DcPKvRuPlU-R23USMnsJdw_6_0"/>
      <w:bookmarkStart w:id="838" w:name="Tc_ENW0nCtwgkiTla6QFxHP1Q_5_10"/>
      <w:bookmarkStart w:id="839" w:name="Tc_U8MqriSoAE6I-IcGj6Aebw_5_4"/>
      <w:bookmarkStart w:id="840" w:name="Tc_RAxo_yrw_k6J4STzP_6Fww_5_0"/>
      <w:bookmarkStart w:id="841" w:name="Tc_B-pf567vyUChPqy8kHDw2g_4_9"/>
      <w:bookmarkStart w:id="842" w:name="Tc_6EkERZqsnUqhxt5JlnTeQw_4_7"/>
      <w:bookmarkStart w:id="843" w:name="Tc_ihZ9JhcqVUeuwqVlt1yn2g_4_4"/>
      <w:bookmarkStart w:id="844" w:name="Tc_hTPtzuPIUkOvOUlgr5M_ZQ_4_2"/>
      <w:bookmarkStart w:id="845" w:name="Tc_3vf6m7VEJU2uWDb6KNutlw_3_9"/>
      <w:bookmarkStart w:id="846" w:name="Tc_LDGolV91dk6j2Rdj2j_lIA_3_7"/>
      <w:bookmarkStart w:id="847" w:name="Tc_dh1kvrdQd0qj7_Q3C86MzQ_3_4"/>
      <w:bookmarkStart w:id="848" w:name="Tc_W7XQgOXgm0G0Qkq8TD8vJQ_2_9"/>
      <w:bookmarkStart w:id="849" w:name="Tc_nFmy2Dcak0OwnHayY4MohA_2_7"/>
      <w:bookmarkStart w:id="850" w:name="Tc_CXtQ8xRxJ0CGesd7UKLwQQ_2_4"/>
      <w:bookmarkStart w:id="851" w:name="Tc_lRWXrTvRhkaZCyk0xy4S3Q_1_9"/>
      <w:bookmarkStart w:id="852" w:name="Tc_tlRXLRMuC02XCAwR0aiF-A_1_7"/>
      <w:bookmarkStart w:id="853" w:name="Tc_6be4Z9Nox02b_K0yXtDjcQ_7_4"/>
      <w:bookmarkStart w:id="854" w:name="Tc_bRn7SM9xPkGB4bd5ncwXXA_7_1"/>
      <w:bookmarkStart w:id="855" w:name="Tc_lhG3Rvj1QkaW0w8iBT1WLg_7_0"/>
      <w:bookmarkStart w:id="856" w:name="Tc_29ZzHDpLfEKGMPcweGST9Q_6_6"/>
      <w:bookmarkStart w:id="857" w:name="Tc_dpuHEc5eDkefnNJ_wZ5bHg_6_3"/>
      <w:bookmarkStart w:id="858" w:name="Tc_J3wBOCoplk-Kc7FE58Cn2Q_6_0"/>
      <w:bookmarkStart w:id="859" w:name="Tc_hC9Cg1wCZ0Cs_iVwJzq30g_5_0"/>
      <w:bookmarkStart w:id="860" w:name="Tc_zxyrEDa2nUmVluSMhWiovQ_4_3"/>
      <w:bookmarkStart w:id="861" w:name="Tc_W62SRIK6tUaXOoqnqGSPZg_4_0"/>
      <w:bookmarkStart w:id="862" w:name="Tc_Pl6EhNh00EeEfMrMHoHz4A_3_6"/>
      <w:bookmarkStart w:id="863" w:name="Tc_zrHwhcS-hEe9s9sLYCI52A_3_3"/>
      <w:bookmarkStart w:id="864" w:name="Tc_xM0UTGSiVkOnFWLoFb8HtQ_3_0"/>
      <w:bookmarkStart w:id="865" w:name="Tc_7pBtvNIUl0SL4itJ6wiJMg_2_4"/>
      <w:bookmarkStart w:id="866" w:name="Tc_0VlkSj0vwU2kQY7uGA3rcg_2_1"/>
      <w:bookmarkStart w:id="867" w:name="Tc_kv7QnsXjbU62uGyydcdtRg_1_1"/>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Times New Roman;Times;serif" w:hAnsi="Times New Roman;Times;serif"/>
          <w:sz w:val="20"/>
        </w:rPr>
        <w:t>The Black-Scholes option pricing model was used with the following weighted-average assumptions for options granted during the years ended December 31, 2023 and 2022:</w:t>
      </w:r>
    </w:p>
    <w:p>
      <w:pPr>
        <w:pStyle w:val="TextBody"/>
        <w:bidi w:val="0"/>
        <w:spacing w:before="0" w:after="0"/>
        <w:ind w:left="0" w:right="0" w:hanging="0"/>
        <w:jc w:val="left"/>
        <w:rPr/>
      </w:pPr>
      <w:r>
        <w:rPr/>
        <w:t>​</w:t>
      </w:r>
    </w:p>
    <w:tbl>
      <w:tblPr>
        <w:tblW w:w="4547" w:type="dxa"/>
        <w:jc w:val="left"/>
        <w:tblInd w:w="0" w:type="dxa"/>
        <w:tblLayout w:type="fixed"/>
        <w:tblCellMar>
          <w:top w:w="0" w:type="dxa"/>
          <w:left w:w="0" w:type="dxa"/>
          <w:bottom w:w="0" w:type="dxa"/>
          <w:right w:w="0" w:type="dxa"/>
        </w:tblCellMar>
      </w:tblPr>
      <w:tblGrid>
        <w:gridCol w:w="2131"/>
        <w:gridCol w:w="230"/>
        <w:gridCol w:w="623"/>
        <w:gridCol w:w="394"/>
        <w:gridCol w:w="230"/>
        <w:gridCol w:w="623"/>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53185" cy="175260"/>
                      <wp:effectExtent l="0" t="0" r="0" b="0"/>
                      <wp:wrapNone/>
                      <wp:docPr id="260" name="Frame25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6050" cy="175260"/>
                      <wp:effectExtent l="0" t="0" r="0" b="0"/>
                      <wp:wrapNone/>
                      <wp:docPr id="261" name="Frame25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95605" cy="175260"/>
                      <wp:effectExtent l="0" t="0" r="0" b="0"/>
                      <wp:wrapNone/>
                      <wp:docPr id="262" name="Frame258"/>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50190" cy="175260"/>
                      <wp:effectExtent l="0" t="0" r="0" b="0"/>
                      <wp:wrapNone/>
                      <wp:docPr id="263" name="Frame25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46050" cy="175260"/>
                      <wp:effectExtent l="0" t="0" r="0" b="0"/>
                      <wp:wrapNone/>
                      <wp:docPr id="264" name="Frame26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95605" cy="175260"/>
                      <wp:effectExtent l="0" t="0" r="0" b="0"/>
                      <wp:wrapNone/>
                      <wp:docPr id="265" name="Frame261"/>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0660" cy="175260"/>
                      <wp:effectExtent l="0" t="0" r="0" b="0"/>
                      <wp:wrapNone/>
                      <wp:docPr id="266" name="Frame2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1"/>
              <w:ind w:left="0" w:right="0" w:hanging="0"/>
              <w:jc w:val="center"/>
              <w:rPr/>
            </w:pPr>
            <w:r>
              <w:rPr/>
              <w:t> </w:t>
            </w:r>
          </w:p>
        </w:tc>
      </w:tr>
      <w:tr>
        <w:trPr/>
        <w:tc>
          <w:tcPr>
            <w:tcW w:w="2131" w:type="dxa"/>
            <w:tcBorders/>
            <w:vAlign w:val="center"/>
          </w:tcPr>
          <w:p>
            <w:pPr>
              <w:pStyle w:val="TableContents"/>
              <w:bidi w:val="0"/>
              <w:spacing w:before="0" w:after="1"/>
              <w:ind w:left="0" w:right="0" w:hanging="0"/>
              <w:jc w:val="left"/>
              <w:rPr/>
            </w:pPr>
            <w:r>
              <w:rPr/>
              <w:t>​</w:t>
            </w:r>
          </w:p>
        </w:tc>
        <w:tc>
          <w:tcPr>
            <w:tcW w:w="8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4" w:type="dxa"/>
            <w:tcBorders/>
            <w:vAlign w:val="center"/>
          </w:tcPr>
          <w:p>
            <w:pPr>
              <w:pStyle w:val="TableContents"/>
              <w:bidi w:val="0"/>
              <w:spacing w:before="0" w:after="1"/>
              <w:ind w:left="0" w:right="0" w:hanging="0"/>
              <w:jc w:val="left"/>
              <w:rPr/>
            </w:pPr>
            <w:r>
              <w:rPr/>
              <w:t>    </w:t>
            </w:r>
          </w:p>
        </w:tc>
        <w:tc>
          <w:tcPr>
            <w:tcW w:w="8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30"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230"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79.43</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74.91</w:t>
            </w:r>
          </w:p>
        </w:tc>
        <w:tc>
          <w:tcPr>
            <w:tcW w:w="3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230"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9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30"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per share</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w:t>
            </w:r>
          </w:p>
        </w:tc>
        <w:tc>
          <w:tcPr>
            <w:tcW w:w="39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50.93</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fair value of restricted stock units granted during the years ended December 31, 2023 and 2022 was based on the closing price of the Company’s common stock on the Nasdaq Capital Market on the day of the grant.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Stock option activity during the year ended December 31, 2023 was as follows:</w:t>
      </w:r>
    </w:p>
    <w:p>
      <w:pPr>
        <w:pStyle w:val="TextBody"/>
        <w:bidi w:val="0"/>
        <w:spacing w:before="0" w:after="0"/>
        <w:ind w:left="0" w:right="0" w:hanging="0"/>
        <w:jc w:val="left"/>
        <w:rPr/>
      </w:pPr>
      <w:r>
        <w:rPr/>
        <w:t>​</w:t>
      </w:r>
    </w:p>
    <w:tbl>
      <w:tblPr>
        <w:tblW w:w="9093" w:type="dxa"/>
        <w:jc w:val="left"/>
        <w:tblInd w:w="0" w:type="dxa"/>
        <w:tblLayout w:type="fixed"/>
        <w:tblCellMar>
          <w:top w:w="0" w:type="dxa"/>
          <w:left w:w="0" w:type="dxa"/>
          <w:bottom w:w="0" w:type="dxa"/>
          <w:right w:w="0" w:type="dxa"/>
        </w:tblCellMar>
      </w:tblPr>
      <w:tblGrid>
        <w:gridCol w:w="3256"/>
        <w:gridCol w:w="326"/>
        <w:gridCol w:w="781"/>
        <w:gridCol w:w="326"/>
        <w:gridCol w:w="366"/>
        <w:gridCol w:w="760"/>
        <w:gridCol w:w="326"/>
        <w:gridCol w:w="1456"/>
        <w:gridCol w:w="326"/>
        <w:gridCol w:w="315"/>
        <w:gridCol w:w="855"/>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67560" cy="175260"/>
                      <wp:effectExtent l="0" t="0" r="0" b="0"/>
                      <wp:wrapNone/>
                      <wp:docPr id="267" name="Frame263"/>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68"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95935" cy="175260"/>
                      <wp:effectExtent l="0" t="0" r="0" b="0"/>
                      <wp:wrapNone/>
                      <wp:docPr id="269" name="Frame2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0"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32410" cy="175260"/>
                      <wp:effectExtent l="0" t="0" r="0" b="0"/>
                      <wp:wrapNone/>
                      <wp:docPr id="271" name="Frame267"/>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82600" cy="175260"/>
                      <wp:effectExtent l="0" t="0" r="0" b="0"/>
                      <wp:wrapNone/>
                      <wp:docPr id="272" name="Frame268"/>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3"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24560" cy="175260"/>
                      <wp:effectExtent l="0" t="0" r="0" b="0"/>
                      <wp:wrapNone/>
                      <wp:docPr id="274" name="Frame270"/>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5"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0025" cy="175260"/>
                      <wp:effectExtent l="0" t="0" r="0" b="0"/>
                      <wp:wrapNone/>
                      <wp:docPr id="276" name="Frame27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42925" cy="175260"/>
                      <wp:effectExtent l="0" t="0" r="0" b="0"/>
                      <wp:wrapNone/>
                      <wp:docPr id="277" name="Frame273"/>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66" w:type="dxa"/>
            <w:tcBorders/>
            <w:vAlign w:val="center"/>
          </w:tcPr>
          <w:p>
            <w:pPr>
              <w:pStyle w:val="TableContents"/>
              <w:bidi w:val="0"/>
              <w:spacing w:before="0" w:after="1"/>
              <w:ind w:left="0" w:right="0" w:hanging="0"/>
              <w:jc w:val="center"/>
              <w:rPr/>
            </w:pPr>
            <w:r>
              <w:rPr/>
              <w:t>    </w:t>
            </w:r>
          </w:p>
        </w:tc>
        <w:tc>
          <w:tcPr>
            <w:tcW w:w="76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center"/>
              <w:rPr/>
            </w:pPr>
            <w:r>
              <w:rPr/>
              <w:t>    </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w:t>
            </w:r>
          </w:p>
        </w:tc>
        <w:tc>
          <w:tcPr>
            <w:tcW w:w="32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Value</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 (in years)</w:t>
            </w:r>
          </w:p>
        </w:tc>
        <w:tc>
          <w:tcPr>
            <w:tcW w:w="326" w:type="dxa"/>
            <w:tcBorders/>
            <w:vAlign w:val="center"/>
          </w:tcPr>
          <w:p>
            <w:pPr>
              <w:pStyle w:val="TableContents"/>
              <w:bidi w:val="0"/>
              <w:spacing w:before="0" w:after="1"/>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23,800</w:t>
            </w:r>
          </w:p>
        </w:tc>
        <w:tc>
          <w:tcPr>
            <w:tcW w:w="326" w:type="dxa"/>
            <w:tcBorders/>
            <w:shd w:fill="CCEEFF" w:val="clear"/>
            <w:vAlign w:val="center"/>
          </w:tcPr>
          <w:p>
            <w:pPr>
              <w:pStyle w:val="TableContents"/>
              <w:bidi w:val="0"/>
              <w:spacing w:before="0" w:after="1"/>
              <w:ind w:left="0" w:right="0" w:hanging="0"/>
              <w:jc w:val="left"/>
              <w:rPr/>
            </w:pPr>
            <w:r>
              <w:rPr/>
              <w:t> </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670.36</w:t>
            </w:r>
          </w:p>
        </w:tc>
        <w:tc>
          <w:tcPr>
            <w:tcW w:w="326" w:type="dxa"/>
            <w:tcBorders/>
            <w:shd w:fill="CCEEFF" w:val="clear"/>
            <w:vAlign w:val="center"/>
          </w:tcPr>
          <w:p>
            <w:pPr>
              <w:pStyle w:val="TableContents"/>
              <w:bidi w:val="0"/>
              <w:spacing w:before="0" w:after="1"/>
              <w:ind w:left="0" w:right="0" w:hanging="0"/>
              <w:jc w:val="left"/>
              <w:rPr/>
            </w:pPr>
            <w:r>
              <w:rPr/>
              <w:t>​</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223,268</w:t>
            </w:r>
          </w:p>
        </w:tc>
        <w:tc>
          <w:tcPr>
            <w:tcW w:w="32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7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14.63</w:t>
            </w:r>
          </w:p>
        </w:tc>
        <w:tc>
          <w:tcPr>
            <w:tcW w:w="326"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 </w:t>
            </w:r>
          </w:p>
        </w:tc>
        <w:tc>
          <w:tcPr>
            <w:tcW w:w="76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32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377.94</w:t>
            </w:r>
          </w:p>
        </w:tc>
        <w:tc>
          <w:tcPr>
            <w:tcW w:w="326" w:type="dxa"/>
            <w:tcBorders/>
            <w:vAlign w:val="center"/>
          </w:tcPr>
          <w:p>
            <w:pPr>
              <w:pStyle w:val="TableContents"/>
              <w:bidi w:val="0"/>
              <w:spacing w:before="0" w:after="1"/>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245,830</w:t>
            </w:r>
          </w:p>
        </w:tc>
        <w:tc>
          <w:tcPr>
            <w:tcW w:w="32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7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76.28</w:t>
            </w:r>
          </w:p>
        </w:tc>
        <w:tc>
          <w:tcPr>
            <w:tcW w:w="326" w:type="dxa"/>
            <w:tcBorders/>
            <w:shd w:fill="CCEEFF" w:val="clear"/>
            <w:vAlign w:val="center"/>
          </w:tcPr>
          <w:p>
            <w:pPr>
              <w:pStyle w:val="TableContents"/>
              <w:bidi w:val="0"/>
              <w:spacing w:before="0" w:after="1"/>
              <w:ind w:left="0" w:right="0" w:hanging="0"/>
              <w:jc w:val="left"/>
              <w:rPr/>
            </w:pPr>
            <w:r>
              <w:rPr/>
              <w:t>​</w:t>
            </w:r>
          </w:p>
        </w:tc>
        <w:tc>
          <w:tcPr>
            <w:tcW w:w="14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Exercisable as of December 31, 2023</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98,350</w:t>
            </w:r>
          </w:p>
        </w:tc>
        <w:tc>
          <w:tcPr>
            <w:tcW w:w="32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7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149.43</w:t>
            </w:r>
          </w:p>
        </w:tc>
        <w:tc>
          <w:tcPr>
            <w:tcW w:w="326" w:type="dxa"/>
            <w:tcBorders/>
            <w:vAlign w:val="center"/>
          </w:tcPr>
          <w:p>
            <w:pPr>
              <w:pStyle w:val="TableContents"/>
              <w:bidi w:val="0"/>
              <w:spacing w:before="0" w:after="1"/>
              <w:ind w:left="0" w:right="0" w:hanging="0"/>
              <w:jc w:val="left"/>
              <w:rPr/>
            </w:pPr>
            <w:r>
              <w:rPr/>
              <w:t>​</w:t>
            </w:r>
          </w:p>
        </w:tc>
        <w:tc>
          <w:tcPr>
            <w:tcW w:w="14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4.00</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nonvested restricted stock unit activity during the year ended December 31, 2023:</w:t>
      </w:r>
    </w:p>
    <w:p>
      <w:pPr>
        <w:pStyle w:val="TextBody"/>
        <w:bidi w:val="0"/>
        <w:spacing w:before="0" w:after="0"/>
        <w:ind w:left="0" w:right="0" w:hanging="0"/>
        <w:jc w:val="left"/>
        <w:rPr/>
      </w:pPr>
      <w:r>
        <w:rPr/>
        <w:t>​</w:t>
      </w:r>
    </w:p>
    <w:tbl>
      <w:tblPr>
        <w:tblW w:w="5934" w:type="dxa"/>
        <w:jc w:val="left"/>
        <w:tblInd w:w="0" w:type="dxa"/>
        <w:tblLayout w:type="fixed"/>
        <w:tblCellMar>
          <w:top w:w="0" w:type="dxa"/>
          <w:left w:w="0" w:type="dxa"/>
          <w:bottom w:w="0" w:type="dxa"/>
          <w:right w:w="0" w:type="dxa"/>
        </w:tblCellMar>
      </w:tblPr>
      <w:tblGrid>
        <w:gridCol w:w="3091"/>
        <w:gridCol w:w="326"/>
        <w:gridCol w:w="691"/>
        <w:gridCol w:w="326"/>
        <w:gridCol w:w="381"/>
        <w:gridCol w:w="1119"/>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962785" cy="175260"/>
                      <wp:effectExtent l="0" t="0" r="0" b="0"/>
                      <wp:wrapNone/>
                      <wp:docPr id="278" name="Frame274"/>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79"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38785" cy="175260"/>
                      <wp:effectExtent l="0" t="0" r="0" b="0"/>
                      <wp:wrapNone/>
                      <wp:docPr id="280" name="Frame2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1"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1935" cy="175260"/>
                      <wp:effectExtent l="0" t="0" r="0" b="0"/>
                      <wp:wrapNone/>
                      <wp:docPr id="282" name="Frame27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710565" cy="175260"/>
                      <wp:effectExtent l="0" t="0" r="0" b="0"/>
                      <wp:wrapNone/>
                      <wp:docPr id="283" name="Frame279"/>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Nonvested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6,644</w:t>
            </w:r>
          </w:p>
        </w:tc>
        <w:tc>
          <w:tcPr>
            <w:tcW w:w="326"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(4,576)</w:t>
            </w:r>
          </w:p>
        </w:tc>
        <w:tc>
          <w:tcPr>
            <w:tcW w:w="326"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Nonvested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w:t>
            </w:r>
          </w:p>
        </w:tc>
        <w:tc>
          <w:tcPr>
            <w:tcW w:w="326" w:type="dxa"/>
            <w:tcBorders/>
            <w:shd w:fill="CCEEFF" w:val="clear"/>
            <w:vAlign w:val="center"/>
          </w:tcPr>
          <w:p>
            <w:pPr>
              <w:pStyle w:val="TableContents"/>
              <w:bidi w:val="0"/>
              <w:spacing w:before="0" w:after="1"/>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7.81</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 was as follows (in thousands):</w:t>
      </w:r>
    </w:p>
    <w:p>
      <w:pPr>
        <w:pStyle w:val="TextBody"/>
        <w:bidi w:val="0"/>
        <w:spacing w:before="0" w:after="0"/>
        <w:ind w:left="0" w:right="0" w:hanging="0"/>
        <w:jc w:val="left"/>
        <w:rPr/>
      </w:pPr>
      <w:r>
        <w:rPr/>
        <w:t>​</w:t>
      </w:r>
    </w:p>
    <w:tbl>
      <w:tblPr>
        <w:tblW w:w="5338" w:type="dxa"/>
        <w:jc w:val="left"/>
        <w:tblInd w:w="0" w:type="dxa"/>
        <w:tblLayout w:type="fixed"/>
        <w:tblCellMar>
          <w:top w:w="0" w:type="dxa"/>
          <w:left w:w="0" w:type="dxa"/>
          <w:bottom w:w="0" w:type="dxa"/>
          <w:right w:w="0" w:type="dxa"/>
        </w:tblCellMar>
      </w:tblPr>
      <w:tblGrid>
        <w:gridCol w:w="3451"/>
        <w:gridCol w:w="109"/>
        <w:gridCol w:w="211"/>
        <w:gridCol w:w="571"/>
        <w:gridCol w:w="109"/>
        <w:gridCol w:w="211"/>
        <w:gridCol w:w="6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1385" cy="175260"/>
                      <wp:effectExtent l="0" t="0" r="0" b="0"/>
                      <wp:wrapNone/>
                      <wp:docPr id="284" name="Frame28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85"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6"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62585" cy="175260"/>
                      <wp:effectExtent l="0" t="0" r="0" b="0"/>
                      <wp:wrapNone/>
                      <wp:docPr id="287" name="Frame2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88"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89"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29260" cy="175260"/>
                      <wp:effectExtent l="0" t="0" r="0" b="0"/>
                      <wp:wrapNone/>
                      <wp:docPr id="290" name="Frame2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2,015</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2,254</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expense for the year ended December 31, 2022 included $1.2 million of expense associated with the vesting of performance-based stock options upon the achievement of the performance criteria when the public offering in August 2022 was completed.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the total remaining unrecognized compensation expense related to nonvested stock options and restricted stock units was $2.5 million which will be amortized over weighted-average remaining requisite service period of 1.0 years.</w:t>
      </w:r>
    </w:p>
    <w:p>
      <w:pPr>
        <w:pStyle w:val="TextBody"/>
        <w:bidi w:val="0"/>
        <w:spacing w:before="0" w:after="240"/>
        <w:ind w:left="0" w:right="0" w:hanging="0"/>
        <w:jc w:val="left"/>
        <w:rPr>
          <w:rFonts w:ascii="Times New Roman;Times;serif" w:hAnsi="Times New Roman;Times;serif"/>
          <w:b/>
          <w:sz w:val="20"/>
        </w:rPr>
      </w:pPr>
      <w:bookmarkStart w:id="868" w:name="Tc_T8E4w8TIh0iGqiuvlLaHZg_6_0"/>
      <w:bookmarkStart w:id="869" w:name="Tc_1TeJTWV4WkuVtkxT0CnKew_5_0"/>
      <w:bookmarkStart w:id="870" w:name="Tc_NN2y9G8hTUOsviUify7fzg_4_0"/>
      <w:bookmarkStart w:id="871" w:name="Tc_MwwtNiUsp06sKa9YYpf8lA_3_4"/>
      <w:bookmarkStart w:id="872" w:name="Tc_nz7-6eRqwkCwRentswKVmA_3_2"/>
      <w:bookmarkStart w:id="873" w:name="Tc_sMmRqJBbPkC4OJ1gMBZXew_2_2"/>
      <w:bookmarkStart w:id="874" w:name="Tc_jGnRoo-bz0KDUrdZXLGing_1_2"/>
      <w:bookmarkStart w:id="875" w:name="Tc_zYpaZ_R3PkSJaNCYMMbHDw_12_5"/>
      <w:bookmarkStart w:id="876" w:name="Tc_A6eQ15WFVU6KZLBHowC1KA_12_2"/>
      <w:bookmarkStart w:id="877" w:name="Tc_9loqVhLuSUuZyFzmWXz0gw_12_0"/>
      <w:bookmarkStart w:id="878" w:name="Tc_WNXiX_A8RkqkEaRjU_urmw_11_0"/>
      <w:bookmarkStart w:id="879" w:name="Tc_TN52G5sCykKj1Iuimgtosg_10_5"/>
      <w:bookmarkStart w:id="880" w:name="Tc_2-73pmZyY0S05tGdbKjuKw_10_2"/>
      <w:bookmarkStart w:id="881" w:name="Tc_pRyjJIiDyEmhOf-AY0XMvg_10_0"/>
      <w:bookmarkStart w:id="882" w:name="Tc_zzlbyjr5BEui_dEfa2x1Fg_9_0"/>
      <w:bookmarkStart w:id="883" w:name="Tc_YQwel_nzd0iALiWU_Fftgg_7_5"/>
      <w:bookmarkStart w:id="884" w:name="Tc_hOe3uq8GSUCi8TRR8Z7F5A_7_2"/>
      <w:bookmarkStart w:id="885" w:name="Tc_KzlEVDPUbkqrHCJzYLTH5w_7_0"/>
      <w:bookmarkStart w:id="886" w:name="Tc_wMVFFF2CTEioqv4LQgUmxA_6_0"/>
      <w:bookmarkStart w:id="887" w:name="Tc_L_prvRCBRkG94TldHAmXlw_5_5"/>
      <w:bookmarkStart w:id="888" w:name="Tc_Cb4_FrQxoEimfhTN99owvA_5_2"/>
      <w:bookmarkStart w:id="889" w:name="Tc_m7c9uRx1EUa6SRWxNNWuAw_5_0"/>
      <w:bookmarkStart w:id="890" w:name="Tc_92HkILGzg0izcliiSa7ygA_4_0"/>
      <w:bookmarkStart w:id="891" w:name="Tc_H8wEN9pRmE-9FJEjdTd7tQ_3_5"/>
      <w:bookmarkStart w:id="892" w:name="Tc_qjmPLbdhe0GA92GIoS_J9g_3_2"/>
      <w:bookmarkStart w:id="893" w:name="Tc_6pKp0t0rHk-0wb_6dKr8MQ_2_2"/>
      <w:bookmarkStart w:id="894" w:name="Tc_uETQcp5LV02LptK3BkKmFA_1_2"/>
      <w:bookmarkStart w:id="895" w:name="_3f703a84_d1fb_4ca0_a28f_123376cb11e2"/>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r>
        <w:rPr>
          <w:rFonts w:ascii="Times New Roman;Times;serif" w:hAnsi="Times New Roman;Times;serif"/>
          <w:b/>
          <w:i w:val="false"/>
          <w:caps w:val="false"/>
          <w:smallCaps w:val="false"/>
          <w:sz w:val="20"/>
        </w:rPr>
        <w:t>10.</w:t>
      </w:r>
      <w:r>
        <w:rPr>
          <w:rFonts w:ascii="Times New Roman;Times;serif" w:hAnsi="Times New Roman;Times;serif"/>
          <w:b/>
          <w:sz w:val="20"/>
        </w:rPr>
        <w:t>BASIC AND DILUTED LOSS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presents the computation of basic and diluted loss per share (in thousands, except share and per share information):</w:t>
      </w:r>
    </w:p>
    <w:tbl>
      <w:tblPr>
        <w:tblW w:w="7385" w:type="dxa"/>
        <w:jc w:val="left"/>
        <w:tblInd w:w="0" w:type="dxa"/>
        <w:tblLayout w:type="fixed"/>
        <w:tblCellMar>
          <w:top w:w="0" w:type="dxa"/>
          <w:left w:w="0" w:type="dxa"/>
          <w:bottom w:w="0" w:type="dxa"/>
          <w:right w:w="0" w:type="dxa"/>
        </w:tblCellMar>
      </w:tblPr>
      <w:tblGrid>
        <w:gridCol w:w="4966"/>
        <w:gridCol w:w="109"/>
        <w:gridCol w:w="211"/>
        <w:gridCol w:w="781"/>
        <w:gridCol w:w="266"/>
        <w:gridCol w:w="211"/>
        <w:gridCol w:w="841"/>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153410" cy="175260"/>
                      <wp:effectExtent l="0" t="0" r="0" b="0"/>
                      <wp:wrapNone/>
                      <wp:docPr id="291" name="Frame287"/>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2"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3"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95935" cy="175260"/>
                      <wp:effectExtent l="0" t="0" r="0" b="0"/>
                      <wp:wrapNone/>
                      <wp:docPr id="294" name="Frame2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68910" cy="175260"/>
                      <wp:effectExtent l="0" t="0" r="0" b="0"/>
                      <wp:wrapNone/>
                      <wp:docPr id="295" name="Frame29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6"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34035" cy="175260"/>
                      <wp:effectExtent l="0" t="0" r="0" b="0"/>
                      <wp:wrapNone/>
                      <wp:docPr id="297" name="Frame29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49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9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26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  </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available to common stockholders — basic</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(8,850)</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(14,072)</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607,890</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269,929</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share - basic</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(52.13)</w:t>
            </w:r>
          </w:p>
        </w:tc>
      </w:tr>
      <w:tr>
        <w:trPr/>
        <w:tc>
          <w:tcPr>
            <w:tcW w:w="49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26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  </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26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96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20"/>
              </w:rPr>
              <w:t xml:space="preserve">Net loss available to common stockholders — diluted </w:t>
            </w:r>
            <w:r>
              <w:rPr>
                <w:rFonts w:ascii="Times New Roman;Times;serif" w:hAnsi="Times New Roman;Times;serif"/>
                <w:sz w:val="12"/>
              </w:rPr>
              <w:t>(1)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(8,850)</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(14,072)</w:t>
            </w:r>
          </w:p>
        </w:tc>
      </w:tr>
      <w:tr>
        <w:trPr/>
        <w:tc>
          <w:tcPr>
            <w:tcW w:w="49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20"/>
              </w:rPr>
              <w:t xml:space="preserve">Weighted average common shares outstanding — diluted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607,890</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269,929</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share — diluted</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26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(52.13)</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(1)</w:t>
            </w:r>
          </w:p>
        </w:tc>
        <w:tc>
          <w:tcPr>
            <w:tcW w:w="9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years ended December 31, 2023 and 2022, no adjustment was made to the numerator and no incremental shares were added to the denominator for the Public Warrants being accounted for as a derivative liability, as the Public Warrants were out-of-the-money. Refer to Note 8 for additional information about the Public Warrants.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outstanding securities, presented based on amounts outstanding as of the end of each period, were not included in the computation of diluted loss per share for the periods indicated, as they would have been anti-dilutive due to the net loss in each period.</w:t>
      </w:r>
    </w:p>
    <w:p>
      <w:pPr>
        <w:pStyle w:val="TextBody"/>
        <w:bidi w:val="0"/>
        <w:spacing w:before="0" w:after="0"/>
        <w:ind w:left="0" w:right="0" w:hanging="0"/>
        <w:jc w:val="left"/>
        <w:rPr/>
      </w:pPr>
      <w:r>
        <w:rPr/>
        <w:t>​</w:t>
      </w:r>
    </w:p>
    <w:tbl>
      <w:tblPr>
        <w:tblW w:w="3963" w:type="dxa"/>
        <w:jc w:val="left"/>
        <w:tblInd w:w="0" w:type="dxa"/>
        <w:tblLayout w:type="fixed"/>
        <w:tblCellMar>
          <w:top w:w="0" w:type="dxa"/>
          <w:left w:w="0" w:type="dxa"/>
          <w:bottom w:w="0" w:type="dxa"/>
          <w:right w:w="0" w:type="dxa"/>
        </w:tblCellMar>
      </w:tblPr>
      <w:tblGrid>
        <w:gridCol w:w="1921"/>
        <w:gridCol w:w="109"/>
        <w:gridCol w:w="781"/>
        <w:gridCol w:w="266"/>
        <w:gridCol w:w="88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19835" cy="175260"/>
                      <wp:effectExtent l="0" t="0" r="0" b="0"/>
                      <wp:wrapNone/>
                      <wp:docPr id="298" name="Frame294"/>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299"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95935" cy="175260"/>
                      <wp:effectExtent l="0" t="0" r="0" b="0"/>
                      <wp:wrapNone/>
                      <wp:docPr id="300" name="Frame2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68910" cy="175260"/>
                      <wp:effectExtent l="0" t="0" r="0" b="0"/>
                      <wp:wrapNone/>
                      <wp:docPr id="301" name="Frame29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62610" cy="175260"/>
                      <wp:effectExtent l="0" t="0" r="0" b="0"/>
                      <wp:wrapNone/>
                      <wp:docPr id="302" name="Frame29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3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245,830</w:t>
            </w:r>
          </w:p>
        </w:tc>
        <w:tc>
          <w:tcPr>
            <w:tcW w:w="26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23,800</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w:t>
            </w:r>
          </w:p>
        </w:tc>
        <w:tc>
          <w:tcPr>
            <w:tcW w:w="26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637,059</w:t>
            </w:r>
          </w:p>
        </w:tc>
        <w:tc>
          <w:tcPr>
            <w:tcW w:w="26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731,853</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6" w:name="Tc_etiTgdiLckCHDZUd34DKaA_5_5"/>
      <w:bookmarkStart w:id="897" w:name="Tc_9z6f5vQnGkuGhvshCHOnsA_5_2"/>
      <w:bookmarkStart w:id="898" w:name="Tc_FBQW1VzBGkCrozC8iKLMwQ_4_0"/>
      <w:bookmarkStart w:id="899" w:name="Tc_j0tHFewSt0qfR7LqYtfMvA_3_5"/>
      <w:bookmarkStart w:id="900" w:name="Tc_g22eVbJxe0KG_jFk5Ssm7Q_3_2"/>
      <w:bookmarkStart w:id="901" w:name="Tc_F2HnbytkQ0-OzmLGDvlcxQ_3_0"/>
      <w:bookmarkStart w:id="902" w:name="Tc_hBJxLJrEx0i1O5lPkf8E0w_2_5"/>
      <w:bookmarkStart w:id="903" w:name="Tc_QFH7VKHwFUunztnULHyo2A_2_2"/>
      <w:bookmarkStart w:id="904" w:name="Tc_yp6ZubrQ_k-pSTb93QzLnQ_1_2"/>
      <w:bookmarkStart w:id="905" w:name="_d531d93b_b376_4700_a855_e96dc771084b"/>
      <w:bookmarkEnd w:id="896"/>
      <w:bookmarkEnd w:id="897"/>
      <w:bookmarkEnd w:id="898"/>
      <w:bookmarkEnd w:id="899"/>
      <w:bookmarkEnd w:id="900"/>
      <w:bookmarkEnd w:id="901"/>
      <w:bookmarkEnd w:id="902"/>
      <w:bookmarkEnd w:id="903"/>
      <w:bookmarkEnd w:id="904"/>
      <w:bookmarkEnd w:id="905"/>
      <w:r>
        <w:rPr>
          <w:rFonts w:ascii="Times New Roman;Times;serif" w:hAnsi="Times New Roman;Times;serif"/>
          <w:b/>
          <w:i w:val="false"/>
          <w:caps w:val="false"/>
          <w:smallCaps w:val="false"/>
          <w:sz w:val="20"/>
        </w:rPr>
        <w:t>11.</w:t>
      </w:r>
      <w:r>
        <w:rPr>
          <w:rFonts w:ascii="Times New Roman;Times;serif" w:hAnsi="Times New Roman;Times;serif"/>
          <w:b/>
          <w:sz w:val="20"/>
        </w:rPr>
        <w:t>INCOME TAXES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loss before provision for income taxes was generated from operations in the United States and outside of the United States as follows (in thousands):</w:t>
      </w:r>
    </w:p>
    <w:p>
      <w:pPr>
        <w:pStyle w:val="TextBody"/>
        <w:bidi w:val="0"/>
        <w:spacing w:before="0" w:after="0"/>
        <w:ind w:left="0" w:right="0" w:hanging="0"/>
        <w:jc w:val="left"/>
        <w:rPr/>
      </w:pPr>
      <w:r>
        <w:rPr/>
        <w:t>​</w:t>
      </w:r>
    </w:p>
    <w:tbl>
      <w:tblPr>
        <w:tblW w:w="3326" w:type="dxa"/>
        <w:jc w:val="left"/>
        <w:tblInd w:w="0" w:type="dxa"/>
        <w:tblLayout w:type="fixed"/>
        <w:tblCellMar>
          <w:top w:w="0" w:type="dxa"/>
          <w:left w:w="0" w:type="dxa"/>
          <w:bottom w:w="0" w:type="dxa"/>
          <w:right w:w="0" w:type="dxa"/>
        </w:tblCellMar>
      </w:tblPr>
      <w:tblGrid>
        <w:gridCol w:w="856"/>
        <w:gridCol w:w="326"/>
        <w:gridCol w:w="215"/>
        <w:gridCol w:w="583"/>
        <w:gridCol w:w="333"/>
        <w:gridCol w:w="215"/>
        <w:gridCol w:w="798"/>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43560" cy="175260"/>
                      <wp:effectExtent l="0" t="0" r="0" b="0"/>
                      <wp:wrapNone/>
                      <wp:docPr id="303" name="Frame29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4"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6525" cy="175260"/>
                      <wp:effectExtent l="0" t="0" r="0" b="0"/>
                      <wp:wrapNone/>
                      <wp:docPr id="305" name="Frame30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70205" cy="175260"/>
                      <wp:effectExtent l="0" t="0" r="0" b="0"/>
                      <wp:wrapNone/>
                      <wp:docPr id="306" name="Frame302"/>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1455" cy="175260"/>
                      <wp:effectExtent l="0" t="0" r="0" b="0"/>
                      <wp:wrapNone/>
                      <wp:docPr id="307" name="Frame303"/>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6525" cy="175260"/>
                      <wp:effectExtent l="0" t="0" r="0" b="0"/>
                      <wp:wrapNone/>
                      <wp:docPr id="308" name="Frame30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06730" cy="175260"/>
                      <wp:effectExtent l="0" t="0" r="0" b="0"/>
                      <wp:wrapNone/>
                      <wp:docPr id="309" name="Frame305"/>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3" w:type="dxa"/>
            <w:tcBorders/>
            <w:vAlign w:val="center"/>
          </w:tcPr>
          <w:p>
            <w:pPr>
              <w:pStyle w:val="TableContents"/>
              <w:bidi w:val="0"/>
              <w:spacing w:before="0" w:after="1"/>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8,689</w:t>
            </w:r>
          </w:p>
        </w:tc>
        <w:tc>
          <w:tcPr>
            <w:tcW w:w="333"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12,417</w:t>
            </w:r>
          </w:p>
        </w:tc>
      </w:tr>
      <w:tr>
        <w:trPr/>
        <w:tc>
          <w:tcPr>
            <w:tcW w:w="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Non-U.S.</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33"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r>
      <w:tr>
        <w:trPr/>
        <w:tc>
          <w:tcPr>
            <w:tcW w:w="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8,850</w:t>
            </w:r>
          </w:p>
        </w:tc>
        <w:tc>
          <w:tcPr>
            <w:tcW w:w="333"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14,072</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06" w:name="Tc_XVEw_6bPkE6rw7uciEmUpg_7_5"/>
      <w:bookmarkStart w:id="907" w:name="Tc_qpxM8NyshUKFkkupH7mkmQ_7_0"/>
      <w:bookmarkStart w:id="908" w:name="Tc_M10v1i9Px02NPm_7Ivjz0w_6_5"/>
      <w:bookmarkStart w:id="909" w:name="Tc_qw8qoHPxiEqYIHqLbpASCQ_6_0"/>
      <w:bookmarkStart w:id="910" w:name="Tc_XiHRHQZ4cEeUXdaIJNDP_w_5_5"/>
      <w:bookmarkStart w:id="911" w:name="Tc_URozyCoTWkm170_w5_sTIA_5_0"/>
      <w:bookmarkStart w:id="912" w:name="Tc_4hFjwGoTo0uEyrL4cWwsWA_4_5"/>
      <w:bookmarkStart w:id="913" w:name="Tc_EDvfgsPh_kKdPpL8J8m6ew_4_0"/>
      <w:bookmarkStart w:id="914" w:name="Tc_xp9V-zV5k0aHgYGpaEEc5w_3_5"/>
      <w:bookmarkStart w:id="915" w:name="Tc_RQZ9CpElNkaXYkNQFU4Jzg_3_2"/>
      <w:bookmarkStart w:id="916" w:name="Tc_heoFUESvwkO1-Yfy_9xCGw_3_0"/>
      <w:bookmarkStart w:id="917" w:name="Tc_Qfq1GRmqUkuLZEdu1or50g_2_5"/>
      <w:bookmarkStart w:id="918" w:name="Tc_oId96gg6fkWSUeLwMvSwQg_2_3"/>
      <w:bookmarkStart w:id="919" w:name="Tc_xyBp24QSWUeR_blbOffqmA_1_3"/>
      <w:bookmarkStart w:id="920" w:name="Tc_JYi0uQD8rkO07Cj3gYyfAA_21_6"/>
      <w:bookmarkStart w:id="921" w:name="Tc_faQlGIFKQkSVThWrQx1mog_21_5"/>
      <w:bookmarkStart w:id="922" w:name="Tc_wWlbbeuDeUWZ5MAfoco-Tw_21_3"/>
      <w:bookmarkStart w:id="923" w:name="Tc_xAVurkmf70qaolBYwOa2fg_21_2"/>
      <w:bookmarkStart w:id="924" w:name="Tc_ABmVXgN8TESvvSBQaZ6L-w_21_0"/>
      <w:bookmarkStart w:id="925" w:name="Tc_8mgSQmldr0-tpEZBXZfsEg_20_0"/>
      <w:bookmarkStart w:id="926" w:name="Tc_qJuiHvTJL0K98ZBWn8cbhg_19_0"/>
      <w:bookmarkStart w:id="927" w:name="Tc_bp1f6GUf3UK700gn3024FA_18_6"/>
      <w:bookmarkStart w:id="928" w:name="Tc_hEl84MrS5UOtXGmb8NJa9Q_18_3"/>
      <w:bookmarkStart w:id="929" w:name="Tc_EImPkW7qz0uPCtJP-5BAiw_18_0"/>
      <w:bookmarkStart w:id="930" w:name="Tc_ADUgvhzSF0-MF739jpc15Q_17_0"/>
      <w:bookmarkStart w:id="931" w:name="Tc_aCsSTUWLWU2KsSfmScMDIA_16_0"/>
      <w:bookmarkStart w:id="932" w:name="Tc_FbbKpHS9y0i5s6BW9Oa8vw_15_0"/>
      <w:bookmarkStart w:id="933" w:name="Tc_foTU9nBCSkeIYusagtDiFQ_14_0"/>
      <w:bookmarkStart w:id="934" w:name="Tc_OkLMCKq1oEWQgvpgv599eQ_13_0"/>
      <w:bookmarkStart w:id="935" w:name="Tc_zE4hvVYf10uBNOmZ3U4moA_12_0"/>
      <w:bookmarkStart w:id="936" w:name="Tc_Sn95wyEnCkK8cbLPiSh4KQ_11_0"/>
      <w:bookmarkStart w:id="937" w:name="Tc__CBj41XV9kmGAYH-c7HV5g_10_0"/>
      <w:bookmarkStart w:id="938" w:name="Tc_INKJJLmjgEeeBQeRZ3d_lw_9_0"/>
      <w:bookmarkStart w:id="939" w:name="Tc_lt5H5TfBYUyAw_dnPKxFFw_8_0"/>
      <w:bookmarkStart w:id="940" w:name="Tc_z8mUmx2NWEK0gzDACVNtiQ_7_0"/>
      <w:bookmarkStart w:id="941" w:name="Tc_C58pi0_e4Uq0-VC68rahpg_6_0"/>
      <w:bookmarkStart w:id="942" w:name="Tc_Hunb8dGPM0qSvlt-EkZDZw_5_0"/>
      <w:bookmarkStart w:id="943" w:name="Tc_MEeyaOr-J0-CYqj-dH3whw_4_5"/>
      <w:bookmarkStart w:id="944" w:name="Tc_EG3HJqr1M0aPOUzzd9lOUw_4_2"/>
      <w:bookmarkStart w:id="945" w:name="Tc_AxK6JDFSHUG_vVN5BaTUzw_4_0"/>
      <w:bookmarkStart w:id="946" w:name="Tc_0b1A_X9y4Uu6Sk8ERnbg8g_3_0"/>
      <w:bookmarkStart w:id="947" w:name="Tc_4FXHDLixREKnie8GAYtmlw_2_5"/>
      <w:bookmarkStart w:id="948" w:name="Tc_F57DPKibHECSj4E7fW6h1Q_2_2"/>
      <w:bookmarkStart w:id="949" w:name="Tc_4DsZqox4CUOuYhWNoguNSg_1_2"/>
      <w:bookmarkStart w:id="950" w:name="_8b3ef17c_7c88_472d_aa3f_1c2d065901ad"/>
      <w:bookmarkStart w:id="951" w:name="Tc_Cn5KXyduyU2Y23EOF0OY7g_12_5"/>
      <w:bookmarkStart w:id="952" w:name="Tc_SSeQyCCItkadePX5IHj5kQ_12_2"/>
      <w:bookmarkStart w:id="953" w:name="Tc_DalsBnkXKEWruYjkRMvSRw_12_0"/>
      <w:bookmarkStart w:id="954" w:name="Tc_9NU1wdBuIESUTx_YAwq1uQ_11_0"/>
      <w:bookmarkStart w:id="955" w:name="Tc_SKOmRCWzT0eNmuvxQ655WA_10_0"/>
      <w:bookmarkStart w:id="956" w:name="Tc_jJogfp1VpE6dSltuOrVeGg_9_0"/>
      <w:bookmarkStart w:id="957" w:name="Tc_2aOrX4s8oEeSs5oJbN7QuQ_8_0"/>
      <w:bookmarkStart w:id="958" w:name="Tc_7aB1gTIsHEiJy1s-NsQXHA_7_0"/>
      <w:bookmarkStart w:id="959" w:name="Tc_1Jz1V9vydEWwNK2gSN6hkw_6_3"/>
      <w:bookmarkStart w:id="960" w:name="Tc_ei7MGva1LkKx7hSPhIICCA_6_0"/>
      <w:bookmarkStart w:id="961" w:name="Tc_ReVrvsT-eEyx5So35aWUFg_5_0"/>
      <w:bookmarkStart w:id="962" w:name="Tc__2wx8DuLdkKcgYhi8Ip_-w_4_0"/>
      <w:bookmarkStart w:id="963" w:name="Tc_IG7gwSJN8U-loLZkJjYxkQ_3_5"/>
      <w:bookmarkStart w:id="964" w:name="Tc_oBm2VHEBLEeg9sE212y32Q_3_2"/>
      <w:bookmarkStart w:id="965" w:name="Tc_-1e1meI-rkm246plyFo1rg_3_0"/>
      <w:bookmarkStart w:id="966" w:name="Tc_i8Ogfkkmkk-hkHjsygX_wQ_2_5"/>
      <w:bookmarkStart w:id="967" w:name="Tc_MELvr0uGFEu2gxyopa-X7Q_2_2"/>
      <w:bookmarkStart w:id="968" w:name="Tc_W0FWoQNkjUWP-M0Z9URWJg_1_2"/>
      <w:bookmarkStart w:id="969" w:name="_e8280a45_b2bc_4647_89be_0d00dcc6d13d"/>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Pr>
          <w:rFonts w:ascii="Times New Roman;Times;serif" w:hAnsi="Times New Roman;Times;serif"/>
          <w:sz w:val="20"/>
        </w:rPr>
        <w:t>A reconciliation of the United States federal statutory income tax rate to the Company's effective income tax rate is as follows (in thousands):</w:t>
      </w:r>
    </w:p>
    <w:p>
      <w:pPr>
        <w:pStyle w:val="TextBody"/>
        <w:bidi w:val="0"/>
        <w:spacing w:before="0" w:after="0"/>
        <w:ind w:left="0" w:right="0" w:hanging="0"/>
        <w:jc w:val="left"/>
        <w:rPr/>
      </w:pPr>
      <w:r>
        <w:rPr/>
        <w:t>​</w:t>
      </w:r>
    </w:p>
    <w:tbl>
      <w:tblPr>
        <w:tblW w:w="7313" w:type="dxa"/>
        <w:jc w:val="left"/>
        <w:tblInd w:w="0" w:type="dxa"/>
        <w:tblLayout w:type="fixed"/>
        <w:tblCellMar>
          <w:top w:w="0" w:type="dxa"/>
          <w:left w:w="0" w:type="dxa"/>
          <w:bottom w:w="0" w:type="dxa"/>
          <w:right w:w="0" w:type="dxa"/>
        </w:tblCellMar>
      </w:tblPr>
      <w:tblGrid>
        <w:gridCol w:w="4666"/>
        <w:gridCol w:w="326"/>
        <w:gridCol w:w="211"/>
        <w:gridCol w:w="691"/>
        <w:gridCol w:w="326"/>
        <w:gridCol w:w="211"/>
        <w:gridCol w:w="691"/>
        <w:gridCol w:w="191"/>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962910" cy="175260"/>
                      <wp:effectExtent l="0" t="0" r="0" b="0"/>
                      <wp:wrapNone/>
                      <wp:docPr id="310" name="Frame306"/>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1"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2"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38785" cy="175260"/>
                      <wp:effectExtent l="0" t="0" r="0" b="0"/>
                      <wp:wrapNone/>
                      <wp:docPr id="313"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4"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5"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38785" cy="175260"/>
                      <wp:effectExtent l="0" t="0" r="0" b="0"/>
                      <wp:wrapNone/>
                      <wp:docPr id="316" name="Frame3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21285" cy="175260"/>
                      <wp:effectExtent l="0" t="0" r="0" b="0"/>
                      <wp:wrapNone/>
                      <wp:docPr id="317" name="Frame31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1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left"/>
              <w:rPr/>
            </w:pPr>
            <w:r>
              <w:rPr/>
              <w:t> </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at United States federal statutory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191" w:type="dxa"/>
            <w:tcBorders/>
            <w:vAlign w:val="center"/>
          </w:tcPr>
          <w:p>
            <w:pPr>
              <w:pStyle w:val="TableContents"/>
              <w:bidi w:val="0"/>
              <w:spacing w:before="0" w:after="0"/>
              <w:ind w:left="0" w:right="0" w:hanging="0"/>
              <w:jc w:val="lef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191" w:type="dxa"/>
            <w:tcBorders/>
            <w:vAlign w:val="center"/>
          </w:tcPr>
          <w:p>
            <w:pPr>
              <w:pStyle w:val="TableContents"/>
              <w:bidi w:val="0"/>
              <w:spacing w:before="0" w:after="0"/>
              <w:ind w:left="0" w:right="0" w:hanging="0"/>
              <w:jc w:val="lef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income taxed at foreign rate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91" w:type="dxa"/>
            <w:tcBorders/>
            <w:vAlign w:val="center"/>
          </w:tcPr>
          <w:p>
            <w:pPr>
              <w:pStyle w:val="TableContents"/>
              <w:bidi w:val="0"/>
              <w:spacing w:before="0" w:after="0"/>
              <w:ind w:left="0" w:right="0" w:hanging="0"/>
              <w:jc w:val="lef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permanent difference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91" w:type="dxa"/>
            <w:tcBorders/>
            <w:vAlign w:val="center"/>
          </w:tcPr>
          <w:p>
            <w:pPr>
              <w:pStyle w:val="TableContents"/>
              <w:bidi w:val="0"/>
              <w:spacing w:before="0" w:after="0"/>
              <w:ind w:left="0" w:right="0" w:hanging="0"/>
              <w:jc w:val="lef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deferred tax assets and liabilities are as follows (in thousands):</w:t>
      </w:r>
    </w:p>
    <w:p>
      <w:pPr>
        <w:pStyle w:val="TextBody"/>
        <w:bidi w:val="0"/>
        <w:spacing w:before="0" w:after="0"/>
        <w:ind w:left="0" w:right="0" w:hanging="0"/>
        <w:jc w:val="left"/>
        <w:rPr/>
      </w:pPr>
      <w:r>
        <w:rPr/>
        <w:t>​</w:t>
      </w:r>
    </w:p>
    <w:tbl>
      <w:tblPr>
        <w:tblW w:w="5622" w:type="dxa"/>
        <w:jc w:val="left"/>
        <w:tblInd w:w="0" w:type="dxa"/>
        <w:tblLayout w:type="fixed"/>
        <w:tblCellMar>
          <w:top w:w="0" w:type="dxa"/>
          <w:left w:w="0" w:type="dxa"/>
          <w:bottom w:w="0" w:type="dxa"/>
          <w:right w:w="0" w:type="dxa"/>
        </w:tblCellMar>
      </w:tblPr>
      <w:tblGrid>
        <w:gridCol w:w="2911"/>
        <w:gridCol w:w="326"/>
        <w:gridCol w:w="211"/>
        <w:gridCol w:w="796"/>
        <w:gridCol w:w="326"/>
        <w:gridCol w:w="211"/>
        <w:gridCol w:w="84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848485" cy="175260"/>
                      <wp:effectExtent l="0" t="0" r="0" b="0"/>
                      <wp:wrapNone/>
                      <wp:docPr id="318" name="Frame314"/>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19"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0"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05460" cy="175260"/>
                      <wp:effectExtent l="0" t="0" r="0" b="0"/>
                      <wp:wrapNone/>
                      <wp:docPr id="321" name="Frame31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2"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3"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34035" cy="175260"/>
                      <wp:effectExtent l="0" t="0" r="0" b="0"/>
                      <wp:wrapNone/>
                      <wp:docPr id="324" name="Frame3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29,130</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 carryforwards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foreign currency losses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reserve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33,888</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foreign currency gains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Valuation allowance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(33,771)</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deferred tax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Net operating loss carryforwards and the related carryforward expiration periods as of December 31, 2023 are summarized as follows (in thousands):</w:t>
      </w:r>
    </w:p>
    <w:p>
      <w:pPr>
        <w:pStyle w:val="TextBody"/>
        <w:bidi w:val="0"/>
        <w:spacing w:before="0" w:after="0"/>
        <w:ind w:left="0" w:right="0" w:hanging="0"/>
        <w:jc w:val="left"/>
        <w:rPr/>
      </w:pPr>
      <w:r>
        <w:rPr/>
        <w:t>​</w:t>
      </w:r>
    </w:p>
    <w:tbl>
      <w:tblPr>
        <w:tblW w:w="6681" w:type="dxa"/>
        <w:jc w:val="left"/>
        <w:tblInd w:w="0" w:type="dxa"/>
        <w:tblLayout w:type="fixed"/>
        <w:tblCellMar>
          <w:top w:w="0" w:type="dxa"/>
          <w:left w:w="0" w:type="dxa"/>
          <w:bottom w:w="0" w:type="dxa"/>
          <w:right w:w="0" w:type="dxa"/>
        </w:tblCellMar>
      </w:tblPr>
      <w:tblGrid>
        <w:gridCol w:w="3451"/>
        <w:gridCol w:w="326"/>
        <w:gridCol w:w="326"/>
        <w:gridCol w:w="1201"/>
        <w:gridCol w:w="326"/>
        <w:gridCol w:w="105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1385" cy="175260"/>
                      <wp:effectExtent l="0" t="0" r="0" b="0"/>
                      <wp:wrapNone/>
                      <wp:docPr id="325" name="Frame32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6"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7"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762635" cy="175260"/>
                      <wp:effectExtent l="0" t="0" r="0" b="0"/>
                      <wp:wrapNone/>
                      <wp:docPr id="328" name="Frame32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29"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67385" cy="175260"/>
                      <wp:effectExtent l="0" t="0" r="0" b="0"/>
                      <wp:wrapNone/>
                      <wp:docPr id="330" name="Frame32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Carryforward </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pPr>
            <w:r>
              <w:rPr/>
              <w:t>​</w:t>
            </w:r>
          </w:p>
        </w:tc>
      </w:tr>
      <w:tr>
        <w:trPr/>
        <w:tc>
          <w:tcPr>
            <w:tcW w:w="3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 </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 federal net operating losses</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39,561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2032</w:t>
            </w:r>
            <w:r>
              <w:rPr>
                <w:rFonts w:ascii="Times New Roman;Times;serif" w:hAnsi="Times New Roman;Times;serif"/>
                <w:sz w:val="20"/>
              </w:rPr>
              <w:t>-</w:t>
            </w:r>
            <w:r>
              <w:rPr>
                <w:rFonts w:ascii="Times New Roman;Times;serif" w:hAnsi="Times New Roman;Times;serif"/>
                <w:b w:val="false"/>
                <w:i w:val="false"/>
                <w:caps w:val="false"/>
                <w:smallCaps w:val="false"/>
                <w:sz w:val="20"/>
              </w:rPr>
              <w:t>2037</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 federal net operating losses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74,943</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Indefinite</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 state net operating losses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71,165</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2034</w:t>
            </w:r>
            <w:r>
              <w:rPr>
                <w:rFonts w:ascii="Times New Roman;Times;serif" w:hAnsi="Times New Roman;Times;serif"/>
                <w:sz w:val="20"/>
              </w:rPr>
              <w:t>-</w:t>
            </w:r>
            <w:r>
              <w:rPr>
                <w:rFonts w:ascii="Times New Roman;Times;serif" w:hAnsi="Times New Roman;Times;serif"/>
                <w:b w:val="false"/>
                <w:i w:val="false"/>
                <w:caps w:val="false"/>
                <w:smallCaps w:val="false"/>
                <w:sz w:val="20"/>
              </w:rPr>
              <w:t>2043</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 state net operating losses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3,213</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Indefinite</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 federal net operating losses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6,532</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2034</w:t>
            </w:r>
            <w:r>
              <w:rPr>
                <w:rFonts w:ascii="Times New Roman;Times;serif" w:hAnsi="Times New Roman;Times;serif"/>
                <w:sz w:val="20"/>
              </w:rPr>
              <w:t>-</w:t>
            </w:r>
            <w:r>
              <w:rPr>
                <w:rFonts w:ascii="Times New Roman;Times;serif" w:hAnsi="Times New Roman;Times;serif"/>
                <w:b w:val="false"/>
                <w:i w:val="false"/>
                <w:caps w:val="false"/>
                <w:smallCaps w:val="false"/>
                <w:sz w:val="20"/>
              </w:rPr>
              <w:t>2043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70" w:name="Tc_foxiM6tgL0ubq1-yNnQsqA_4_5"/>
      <w:bookmarkStart w:id="971" w:name="Tc_x_9vtCcehEKZzGKy_7HNOg_4_0"/>
      <w:bookmarkStart w:id="972" w:name="Tc_6P61LTVbmU-5Hr7ycQrOug_3_5"/>
      <w:bookmarkStart w:id="973" w:name="Tc_INP5xNWTFU-3dhZG8Zp_Bg_3_2"/>
      <w:bookmarkStart w:id="974" w:name="Tc_WxINl257F02VzqlwbqKJ1g_3_0"/>
      <w:bookmarkStart w:id="975" w:name="Tc_T0xhVeZrhUiqeahxKZIB8A_2_5"/>
      <w:bookmarkStart w:id="976" w:name="Tc_VRYb9OxoLEGphmGQi2uGMg_2_3"/>
      <w:bookmarkStart w:id="977" w:name="Tc_YZc50HqVC0KbNuDMttmEWw_1_3"/>
      <w:bookmarkEnd w:id="970"/>
      <w:bookmarkEnd w:id="971"/>
      <w:bookmarkEnd w:id="972"/>
      <w:bookmarkEnd w:id="973"/>
      <w:bookmarkEnd w:id="974"/>
      <w:bookmarkEnd w:id="975"/>
      <w:bookmarkEnd w:id="976"/>
      <w:bookmarkEnd w:id="977"/>
      <w:r>
        <w:rPr>
          <w:rFonts w:ascii="Times New Roman;Times;serif" w:hAnsi="Times New Roman;Times;serif"/>
          <w:sz w:val="20"/>
        </w:rPr>
        <w:t>The gross tax credit carryforwards and the related carryforward expiration periods as of December 31, 2023 are summarized as follows (in thousands):</w:t>
      </w:r>
    </w:p>
    <w:p>
      <w:pPr>
        <w:pStyle w:val="TextBody"/>
        <w:bidi w:val="0"/>
        <w:spacing w:before="0" w:after="0"/>
        <w:ind w:left="0" w:right="0" w:hanging="0"/>
        <w:jc w:val="left"/>
        <w:rPr/>
      </w:pPr>
      <w:r>
        <w:rPr/>
        <w:t>​</w:t>
      </w:r>
    </w:p>
    <w:tbl>
      <w:tblPr>
        <w:tblW w:w="7641" w:type="dxa"/>
        <w:jc w:val="left"/>
        <w:tblInd w:w="0" w:type="dxa"/>
        <w:tblLayout w:type="fixed"/>
        <w:tblCellMar>
          <w:top w:w="0" w:type="dxa"/>
          <w:left w:w="0" w:type="dxa"/>
          <w:bottom w:w="0" w:type="dxa"/>
          <w:right w:w="0" w:type="dxa"/>
        </w:tblCellMar>
      </w:tblPr>
      <w:tblGrid>
        <w:gridCol w:w="4411"/>
        <w:gridCol w:w="326"/>
        <w:gridCol w:w="326"/>
        <w:gridCol w:w="1201"/>
        <w:gridCol w:w="326"/>
        <w:gridCol w:w="105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800985" cy="175260"/>
                      <wp:effectExtent l="0" t="0" r="0" b="0"/>
                      <wp:wrapNone/>
                      <wp:docPr id="331" name="Frame327"/>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2"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3"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762635" cy="175260"/>
                      <wp:effectExtent l="0" t="0" r="0" b="0"/>
                      <wp:wrapNone/>
                      <wp:docPr id="334" name="Frame33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5"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67385" cy="175260"/>
                      <wp:effectExtent l="0" t="0" r="0" b="0"/>
                      <wp:wrapNone/>
                      <wp:docPr id="336" name="Frame33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Carryforward </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pPr>
            <w:r>
              <w:rPr/>
              <w:t>​</w:t>
            </w:r>
          </w:p>
        </w:tc>
      </w:tr>
      <w:tr>
        <w:trPr/>
        <w:tc>
          <w:tcPr>
            <w:tcW w:w="4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 </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 federal research expenditure tax credits</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2034</w:t>
            </w:r>
            <w:r>
              <w:rPr>
                <w:rFonts w:ascii="Times New Roman;Times;serif" w:hAnsi="Times New Roman;Times;serif"/>
                <w:sz w:val="20"/>
              </w:rPr>
              <w:t>-</w:t>
            </w:r>
            <w:r>
              <w:rPr>
                <w:rFonts w:ascii="Times New Roman;Times;serif" w:hAnsi="Times New Roman;Times;serif"/>
                <w:b w:val="false"/>
                <w:i w:val="false"/>
                <w:caps w:val="false"/>
                <w:smallCaps w:val="false"/>
                <w:sz w:val="20"/>
              </w:rPr>
              <w:t>2043</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 federal research expenditure tax credits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2034</w:t>
            </w:r>
            <w:r>
              <w:rPr>
                <w:rFonts w:ascii="Times New Roman;Times;serif" w:hAnsi="Times New Roman;Times;serif"/>
                <w:sz w:val="20"/>
              </w:rPr>
              <w:t>-</w:t>
            </w:r>
            <w:r>
              <w:rPr>
                <w:rFonts w:ascii="Times New Roman;Times;serif" w:hAnsi="Times New Roman;Times;serif"/>
                <w:b w:val="false"/>
                <w:i w:val="false"/>
                <w:caps w:val="false"/>
                <w:smallCaps w:val="false"/>
                <w:sz w:val="20"/>
              </w:rPr>
              <w:t>2037</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Under the provisions of the Internal Revenue Code of 1986, as amended (the “Code”), the net operating loss carryforwards are subject to review and possible adjustment by the Internal Revenue Service and state tax authorities. Net operating loss carryforwards may become subject to an annual limitation in the event of certain cumulative changes in the ownership interest of significant shareholders over a three-year period in excess of 50 percent, as defined under Section 382 of the Code, as well as similar state provisions. This could substantially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Although a formal Section 382 analysis has not yet been completed, the Company believes it is possible ownership changes have occurred. The annual limitation may result in the expiration of United States net operating losses and credits before utilization; however, due to the valuation allowance against deferred tax assets as of December 31, 2023, the net effect of any limitation will have no impact on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accounting guidance related to uncertain tax positions prescribes a recognition threshold and measurement attribute for recognition and measurement of a tax position taken or expected to be taken in a tax return. It also provides guidance on de-recognition, classification, interest and penalties, accounting in interim periods, disclosure and transition. As of both December 31, 2023 and 2022, the Company does not have an accrual relating to uncertain tax positions. It is not anticipated that unrecognized tax benefits would significantly increase or decrease within 12 months of the reporting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files income tax returns in the United States and Canada. The Company’s tax returns are subject to tax examinations by United States federal and state tax authorities, or examinations by foreign tax authorities until the expiration of the respective statutes of limitation. The Company currently has no tax years under examination.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DEFINED CONTRIBUTION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employees in the United States are eligible to participate in the Helius Medical Inc. Savings Plan, as amended, a safe harbor 401(k) plan (“401(k) Plan”). The 401(k) Plan allows eligible employees to make contributions through payroll deductions up to IRS limits. The Company matches the first 3% of the participant's annual eligible compensation contributed to the plan on a dollar-for-dollar basis and matches the next 2% of the participant's annual eligible compensation to the plan on a 50% basis. Pursuant to the 401(k) safe harbor provisions, the Company’s matching contributions are 100% vested. For the years ended December 31, 2023 and 2022, the Company’s defined contribution plan expense was $148 thousand and $143 thousand,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obligated under a license agreement with Advanced NeuroRehabilitation, LLC (“ANR”) to pay a 4% royalty on net revenue collected from the sale of devices covered by ANR’s patent pending technology, claims and knowhow. For the years ended December 31, 2023 and 2022, the Company recorded royalty expense from the sale of devices of approximately $24 thousand and $31 thousand, respectively, in its Consolidated Statements of Operations and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78" w:name="Tc_t36Bz9EUFE2TRS7gVX8lFQ_9_5"/>
      <w:bookmarkStart w:id="979" w:name="Tc_VMSExPu-Dk2yF5s9poMv5w_9_2"/>
      <w:bookmarkStart w:id="980" w:name="Tc_fsjz2XU2aE-M3rnacVBZBQ_9_0"/>
      <w:bookmarkStart w:id="981" w:name="Tc_ilu_C1NKU0ywMPQvezoO7Q_8_0"/>
      <w:bookmarkStart w:id="982" w:name="Tc_6S1fp2R6BkWeAP3sAqNgKg_7_0"/>
      <w:bookmarkStart w:id="983" w:name="Tc_eLawoMNdO06WgdkudrxTSg_6_0"/>
      <w:bookmarkStart w:id="984" w:name="Tc_QhwUn2xJEkuTJEuQAnQdkg_5_5"/>
      <w:bookmarkStart w:id="985" w:name="Tc_kkNpO6OhRkOydlCRdvsqLQ_5_2"/>
      <w:bookmarkStart w:id="986" w:name="Tc_wboikSOlbkyy70veL5vKZQ_5_0"/>
      <w:bookmarkStart w:id="987" w:name="Tc_K-Y7jWjT2kyFVp8Klt19ug_4_0"/>
      <w:bookmarkStart w:id="988" w:name="Tc_R3iEjnGizEumo6HmDybX-Q_3_5"/>
      <w:bookmarkStart w:id="989" w:name="Tc_dsyP_j6rX0eviYSTaWNwpA_3_2"/>
      <w:bookmarkStart w:id="990" w:name="Tc_Agcbsmv4pEWJ_JexmpXyug_2_2"/>
      <w:bookmarkStart w:id="991" w:name="Tc_I5UxR6mU1EyHwLyWOKIcmA_1_2"/>
      <w:bookmarkStart w:id="992" w:name="_5558d73f_5aa1_4e39_8859_0887b1a062ab"/>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Times New Roman;Times;serif" w:hAnsi="Times New Roman;Times;serif"/>
          <w:b/>
          <w:i w:val="false"/>
          <w:caps w:val="false"/>
          <w:smallCaps w:val="false"/>
          <w:sz w:val="20"/>
        </w:rPr>
        <w:t>14.</w:t>
      </w:r>
      <w:r>
        <w:rPr>
          <w:rFonts w:ascii="Times New Roman;Times;serif" w:hAnsi="Times New Roman;Times;serif"/>
          <w:b/>
          <w:sz w:val="20"/>
        </w:rPr>
        <w:t>ENTERPRISE-WIDE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revenue disaggregated by geographic area (in thousands):</w:t>
      </w:r>
    </w:p>
    <w:tbl>
      <w:tblPr>
        <w:tblW w:w="3815" w:type="dxa"/>
        <w:jc w:val="left"/>
        <w:tblInd w:w="0" w:type="dxa"/>
        <w:tblLayout w:type="fixed"/>
        <w:tblCellMar>
          <w:top w:w="0" w:type="dxa"/>
          <w:left w:w="0" w:type="dxa"/>
          <w:bottom w:w="0" w:type="dxa"/>
          <w:right w:w="0" w:type="dxa"/>
        </w:tblCellMar>
      </w:tblPr>
      <w:tblGrid>
        <w:gridCol w:w="2011"/>
        <w:gridCol w:w="326"/>
        <w:gridCol w:w="211"/>
        <w:gridCol w:w="421"/>
        <w:gridCol w:w="109"/>
        <w:gridCol w:w="211"/>
        <w:gridCol w:w="52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276985" cy="175260"/>
                      <wp:effectExtent l="0" t="0" r="0" b="0"/>
                      <wp:wrapNone/>
                      <wp:docPr id="337" name="Frame333"/>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38"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39"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67335" cy="175260"/>
                      <wp:effectExtent l="0" t="0" r="0" b="0"/>
                      <wp:wrapNone/>
                      <wp:docPr id="340" name="Frame33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1"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2"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34010" cy="175260"/>
                      <wp:effectExtent l="0" t="0" r="0" b="0"/>
                      <wp:wrapNone/>
                      <wp:docPr id="343" name="Frame33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sales,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787</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Two customers accounted for 65% of net product sales for the year ended December 31, 2023 and a single customer accounted for 35% of net product sales for the year ended December 31, 2022. A single customer accounted for 83% and 89% of accounts receivable, net for the years ended December 31, 2023 and 2022, respectively. </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93" w:name="SIGNATURES_563111"/>
      <w:bookmarkStart w:id="994" w:name="_826e12eb_bb8c_4adf_89b5_124cbb375bd3"/>
      <w:bookmarkEnd w:id="993"/>
      <w:bookmarkEnd w:id="994"/>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716" w:type="dxa"/>
        <w:jc w:val="left"/>
        <w:tblInd w:w="0" w:type="dxa"/>
        <w:tblLayout w:type="fixed"/>
        <w:tblCellMar>
          <w:top w:w="0" w:type="dxa"/>
          <w:left w:w="0" w:type="dxa"/>
          <w:bottom w:w="0" w:type="dxa"/>
          <w:right w:w="0" w:type="dxa"/>
        </w:tblCellMar>
      </w:tblPr>
      <w:tblGrid>
        <w:gridCol w:w="1996"/>
        <w:gridCol w:w="412"/>
        <w:gridCol w:w="3308"/>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67460" cy="175260"/>
                      <wp:effectExtent l="0" t="0" r="0" b="0"/>
                      <wp:wrapNone/>
                      <wp:docPr id="344" name="Frame340"/>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61620" cy="175260"/>
                      <wp:effectExtent l="0" t="0" r="0" b="0"/>
                      <wp:wrapNone/>
                      <wp:docPr id="345" name="Frame341"/>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00580" cy="175260"/>
                      <wp:effectExtent l="0" t="0" r="0" b="0"/>
                      <wp:wrapNone/>
                      <wp:docPr id="346" name="Frame342"/>
                      <a:graphic xmlns:a="http://schemas.openxmlformats.org/drawingml/2006/main">
                        <a:graphicData uri="http://schemas.microsoft.com/office/word/2010/wordprocessingShape">
                          <wps:wsp>
                            <wps:cNvSpPr txBox="1"/>
                            <wps:spPr>
                              <a:xfrm>
                                <a:off x="0" y="0"/>
                                <a:ext cx="2100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HELIUS MEDICAL TECHNOLOGIES, INC.</w:t>
            </w:r>
          </w:p>
        </w:tc>
      </w:tr>
      <w:tr>
        <w:trPr/>
        <w:tc>
          <w:tcPr>
            <w:tcW w:w="199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3308"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28, 2024</w:t>
            </w:r>
          </w:p>
        </w:tc>
        <w:tc>
          <w:tcPr>
            <w:tcW w:w="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199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330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199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3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Officer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0" w:type="dxa"/>
          <w:left w:w="0" w:type="dxa"/>
          <w:bottom w:w="0" w:type="dxa"/>
          <w:right w:w="0" w:type="dxa"/>
        </w:tblCellMar>
      </w:tblPr>
      <w:tblGrid>
        <w:gridCol w:w="361"/>
        <w:gridCol w:w="7882"/>
        <w:gridCol w:w="326"/>
        <w:gridCol w:w="1636"/>
      </w:tblGrid>
      <w:tr>
        <w:trPr/>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7882"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283"/>
              <w:ind w:left="0" w:right="0" w:hanging="0"/>
              <w:jc w:val="left"/>
              <w:rPr>
                <w:sz w:val="4"/>
                <w:szCs w:val="4"/>
              </w:rPr>
            </w:pPr>
            <w:r>
              <w:rPr>
                <w:sz w:val="4"/>
                <w:szCs w:val="4"/>
              </w:rPr>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c>
          <w:tcPr>
            <w:tcW w:w="32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(Principal Executive Officer) and 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 and Principal Accounting Officer), Treasurer, Secretary and 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Paul Buckman</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Buckman</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Blane Walter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Blane Walter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Sherrie Perkins</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Sherrie Perkins</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M. Straw</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M. Straw</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240"/>
        <w:ind w:left="0" w:right="0" w:hanging="0"/>
        <w:jc w:val="right"/>
        <w:rPr>
          <w:rFonts w:ascii="Times New Roman;Times;serif" w:hAnsi="Times New Roman;Times;serif"/>
          <w:b/>
          <w:sz w:val="20"/>
        </w:rPr>
      </w:pPr>
      <w:bookmarkStart w:id="995" w:name="hsdt-20231231xex21d1.htm"/>
      <w:bookmarkStart w:id="996" w:name="kshsdt20231231xex21d1"/>
      <w:bookmarkEnd w:id="995"/>
      <w:bookmarkEnd w:id="996"/>
      <w:r>
        <w:rPr>
          <w:rFonts w:ascii="Times New Roman;Times;serif" w:hAnsi="Times New Roman;Times;serif"/>
          <w:b/>
          <w:sz w:val="20"/>
        </w:rPr>
        <w:t>Exhibit 21.1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SUBSIDIARIES OF HELIUS MEDICAL TECHNOLOGIES, INC</w:t>
      </w:r>
    </w:p>
    <w:tbl>
      <w:tblPr>
        <w:tblW w:w="5237" w:type="dxa"/>
        <w:jc w:val="center"/>
        <w:tblInd w:w="0" w:type="dxa"/>
        <w:tblLayout w:type="fixed"/>
        <w:tblCellMar>
          <w:top w:w="0" w:type="dxa"/>
          <w:left w:w="0" w:type="dxa"/>
          <w:bottom w:w="0" w:type="dxa"/>
          <w:right w:w="0" w:type="dxa"/>
        </w:tblCellMar>
      </w:tblPr>
      <w:tblGrid>
        <w:gridCol w:w="3691"/>
        <w:gridCol w:w="1546"/>
      </w:tblGrid>
      <w:tr>
        <w:trPr/>
        <w:tc>
          <w:tcPr>
            <w:tcW w:w="369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ENTITY NAME</w:t>
            </w:r>
          </w:p>
        </w:tc>
        <w:tc>
          <w:tcPr>
            <w:tcW w:w="15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JURISDICTION</w:t>
            </w:r>
          </w:p>
        </w:tc>
      </w:tr>
      <w:tr>
        <w:trPr/>
        <w:tc>
          <w:tcPr>
            <w:tcW w:w="369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Helius Medical, Inc.</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Delaware</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Helius Medical Technologies (Canada), Inc.</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Canada</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Helius NeuroRehab, Inc.</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Delaware</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Helius Canada Acquisition Ltd.</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Canada</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Heuro Canada, Inc.</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Canada</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97" w:name="hsdt-20231231xex23d1.htm"/>
      <w:bookmarkStart w:id="998" w:name="kshsdt20231231xex23d1"/>
      <w:bookmarkEnd w:id="997"/>
      <w:bookmarkEnd w:id="998"/>
      <w:r>
        <w:rPr>
          <w:rFonts w:ascii="Times New Roman;Times;serif" w:hAnsi="Times New Roman;Times;serif"/>
          <w:b/>
          <w:sz w:val="20"/>
        </w:rPr>
        <w:t>Exhibit 23.1</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on Form S-1 (No. 333-248824, 333-250974, 333-259334 and 333-266107), Form S-3 (333-270433) and Form S-8 (No. 333-204155, 333-218095, 333-229724, 333-256680, 333-257749, 333-265324 and 333-269305) of Helius Medical Technologies, Inc. of our report dated March 29, 2024, relating to the consolidated financial statements, which includes an explanatory paragraph relating to the Company’s ability to continue as a going concern and appearing within this annual report on Form 10-K for the year ended December 31, 2023.</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BAKER TILLY US,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Minneapolis, Minnesota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28, 2024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99" w:name="hsdt-20231231xex31d1.htm"/>
      <w:bookmarkStart w:id="1000" w:name="kshsdt20231231xex31d1"/>
      <w:bookmarkEnd w:id="999"/>
      <w:bookmarkEnd w:id="1000"/>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 Periodic Report Pursuant to Rule 13a-14(a) and Rule 15d-14(a)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Dane C. Andreeff, certify that:</w:t>
      </w:r>
    </w:p>
    <w:tbl>
      <w:tblPr>
        <w:tblW w:w="7210" w:type="dxa"/>
        <w:jc w:val="left"/>
        <w:tblInd w:w="0" w:type="dxa"/>
        <w:tblLayout w:type="fixed"/>
        <w:tblCellMar>
          <w:top w:w="0" w:type="dxa"/>
          <w:left w:w="0" w:type="dxa"/>
          <w:bottom w:w="0" w:type="dxa"/>
          <w:right w:w="0" w:type="dxa"/>
        </w:tblCellMar>
      </w:tblPr>
      <w:tblGrid>
        <w:gridCol w:w="170"/>
        <w:gridCol w:w="704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10-K of Helius Medical Technologies,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3335" w:type="dxa"/>
        <w:jc w:val="center"/>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March 28, 2024</w:t>
            </w:r>
          </w:p>
        </w:tc>
        <w:tc>
          <w:tcPr>
            <w:tcW w:w="154" w:type="dxa"/>
            <w:tcBorders/>
            <w:vAlign w:val="center"/>
          </w:tcPr>
          <w:p>
            <w:pPr>
              <w:pStyle w:val="TableContents"/>
              <w:bidi w:val="0"/>
              <w:spacing w:before="0" w:after="0"/>
              <w:ind w:left="0" w:right="0" w:hanging="0"/>
              <w:jc w:val="both"/>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01" w:name="hsdt-20231231xex31d2.htm"/>
      <w:bookmarkStart w:id="1002" w:name="kshsdt20231231xex31d2"/>
      <w:bookmarkEnd w:id="1001"/>
      <w:bookmarkEnd w:id="1002"/>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 Periodic Report Pursuant to Rule 13a-14(a) and Rule 15d-14(a)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S. Mathiesen, certify that:</w:t>
      </w:r>
    </w:p>
    <w:tbl>
      <w:tblPr>
        <w:tblW w:w="7210" w:type="dxa"/>
        <w:jc w:val="left"/>
        <w:tblInd w:w="0" w:type="dxa"/>
        <w:tblLayout w:type="fixed"/>
        <w:tblCellMar>
          <w:top w:w="0" w:type="dxa"/>
          <w:left w:w="0" w:type="dxa"/>
          <w:bottom w:w="0" w:type="dxa"/>
          <w:right w:w="0" w:type="dxa"/>
        </w:tblCellMar>
      </w:tblPr>
      <w:tblGrid>
        <w:gridCol w:w="170"/>
        <w:gridCol w:w="704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10-K of Helius Medical Technologies,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270" w:type="dxa"/>
        <w:jc w:val="center"/>
        <w:tblInd w:w="0" w:type="dxa"/>
        <w:tblLayout w:type="fixed"/>
        <w:tblCellMar>
          <w:top w:w="0" w:type="dxa"/>
          <w:left w:w="0" w:type="dxa"/>
          <w:bottom w:w="0" w:type="dxa"/>
          <w:right w:w="0" w:type="dxa"/>
        </w:tblCellMar>
      </w:tblPr>
      <w:tblGrid>
        <w:gridCol w:w="5116"/>
        <w:gridCol w:w="154"/>
      </w:tblGrid>
      <w:tr>
        <w:trPr/>
        <w:tc>
          <w:tcPr>
            <w:tcW w:w="51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March 28, 2024</w:t>
            </w:r>
          </w:p>
        </w:tc>
        <w:tc>
          <w:tcPr>
            <w:tcW w:w="154" w:type="dxa"/>
            <w:tcBorders/>
            <w:vAlign w:val="center"/>
          </w:tcPr>
          <w:p>
            <w:pPr>
              <w:pStyle w:val="TableContents"/>
              <w:bidi w:val="0"/>
              <w:spacing w:before="0" w:after="0"/>
              <w:ind w:left="0" w:right="0" w:hanging="0"/>
              <w:jc w:val="both"/>
              <w:rPr/>
            </w:pPr>
            <w:r>
              <w:rPr/>
              <w:t>​</w:t>
            </w:r>
          </w:p>
        </w:tc>
      </w:tr>
      <w:tr>
        <w:trPr/>
        <w:tc>
          <w:tcPr>
            <w:tcW w:w="511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c>
          <w:tcPr>
            <w:tcW w:w="154" w:type="dxa"/>
            <w:tcBorders/>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154" w:type="dxa"/>
            <w:tcBorders/>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03" w:name="hsdt-20231231xex32d1.htm"/>
      <w:bookmarkStart w:id="1004" w:name="kshsdt20231231xex32d1"/>
      <w:bookmarkEnd w:id="1003"/>
      <w:bookmarkEnd w:id="1004"/>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on Form 10-K of Helius Medical Technologies, Inc. (the “Company”) for the year ended December 31, 2023 as filed with the Securities and Exchange Commission on the date hereof (the “Report”), Dane C. Andreeff, as Chief Executive Officer of the Company, and Jeffrey S. Mathiesen, as Chief Financial Officer of the Company, each hereby certifies, pursuant to 18 U.S.C. Section 1350, as adopted pursuant to Section 906 of the Sarbanes-Oxley Act of 2002, that, to the best of their knowledge:</w:t>
      </w:r>
    </w:p>
    <w:tbl>
      <w:tblPr>
        <w:tblW w:w="9760" w:type="dxa"/>
        <w:jc w:val="left"/>
        <w:tblInd w:w="0" w:type="dxa"/>
        <w:tblLayout w:type="fixed"/>
        <w:tblCellMar>
          <w:top w:w="0" w:type="dxa"/>
          <w:left w:w="0" w:type="dxa"/>
          <w:bottom w:w="0" w:type="dxa"/>
          <w:right w:w="0" w:type="dxa"/>
        </w:tblCellMar>
      </w:tblPr>
      <w:tblGrid>
        <w:gridCol w:w="170"/>
        <w:gridCol w:w="959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240" w:type="dxa"/>
        <w:jc w:val="center"/>
        <w:tblInd w:w="0" w:type="dxa"/>
        <w:tblLayout w:type="fixed"/>
        <w:tblCellMar>
          <w:top w:w="0" w:type="dxa"/>
          <w:left w:w="0" w:type="dxa"/>
          <w:bottom w:w="0" w:type="dxa"/>
          <w:right w:w="0" w:type="dxa"/>
        </w:tblCellMar>
      </w:tblPr>
      <w:tblGrid>
        <w:gridCol w:w="5086"/>
        <w:gridCol w:w="154"/>
      </w:tblGrid>
      <w:tr>
        <w:trPr/>
        <w:tc>
          <w:tcPr>
            <w:tcW w:w="50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March 28, 2024</w:t>
            </w:r>
          </w:p>
        </w:tc>
        <w:tc>
          <w:tcPr>
            <w:tcW w:w="154" w:type="dxa"/>
            <w:tcBorders/>
            <w:vAlign w:val="center"/>
          </w:tcPr>
          <w:p>
            <w:pPr>
              <w:pStyle w:val="TableContents"/>
              <w:bidi w:val="0"/>
              <w:spacing w:before="0" w:after="0"/>
              <w:ind w:left="0" w:right="0" w:hanging="0"/>
              <w:jc w:val="both"/>
              <w:rPr/>
            </w:pPr>
            <w:r>
              <w:rPr/>
              <w:t>​</w:t>
            </w:r>
          </w:p>
        </w:tc>
      </w:tr>
      <w:tr>
        <w:trPr/>
        <w:tc>
          <w:tcPr>
            <w:tcW w:w="50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Helius Medical Technologies, Inc. and will be retained by Helius Medical Technologies, Inc.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Calibri;Helvetica;sans-serif" w:hAnsi="Calibri;Helvetica;sans-serif"/>
          <w:b/>
          <w:sz w:val="22"/>
        </w:rPr>
      </w:pPr>
      <w:bookmarkStart w:id="1005" w:name="hsdt-20231231xex97d1.htm"/>
      <w:bookmarkStart w:id="1006" w:name="kshsdt20231231xex97d1"/>
      <w:bookmarkEnd w:id="1005"/>
      <w:bookmarkEnd w:id="1006"/>
      <w:r>
        <w:rPr>
          <w:rFonts w:ascii="Calibri;Helvetica;sans-serif" w:hAnsi="Calibri;Helvetica;sans-serif"/>
          <w:b/>
          <w:sz w:val="22"/>
        </w:rPr>
        <w:t>Exhibit 97.1</w:t>
      </w:r>
      <w:r>
        <w:br w:type="page"/>
      </w:r>
    </w:p>
    <w:p>
      <w:pPr>
        <w:pStyle w:val="TextBody"/>
        <w:bidi w:val="0"/>
        <w:spacing w:lineRule="auto" w:line="285" w:before="0" w:after="0"/>
        <w:ind w:left="0" w:right="0" w:hanging="0"/>
        <w:jc w:val="left"/>
        <w:rPr/>
      </w:pPr>
      <w:r>
        <w:rPr/>
        <w:t>​</w:t>
      </w:r>
    </w:p>
    <w:p>
      <w:pPr>
        <w:pStyle w:val="TextBody"/>
        <w:pBdr>
          <w:top w:val="single" w:sz="12" w:space="1" w:color="000000"/>
        </w:pBdr>
        <w:bidi w:val="0"/>
        <w:spacing w:lineRule="auto" w:line="285" w:before="0" w:after="0"/>
        <w:ind w:left="0" w:right="0" w:hanging="0"/>
        <w:jc w:val="center"/>
        <w:rPr/>
      </w:pPr>
      <w:r>
        <w:rPr/>
        <w:drawing>
          <wp:inline distT="0" distB="0" distL="0" distR="0">
            <wp:extent cx="1447800" cy="647700"/>
            <wp:effectExtent l="0" t="0" r="0" b="0"/>
            <wp:docPr id="3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5" descr=""/>
                    <pic:cNvPicPr>
                      <a:picLocks noChangeAspect="1" noChangeArrowheads="1"/>
                    </pic:cNvPicPr>
                  </pic:nvPicPr>
                  <pic:blipFill>
                    <a:blip r:embed="rId52"/>
                    <a:stretch>
                      <a:fillRect/>
                    </a:stretch>
                  </pic:blipFill>
                  <pic:spPr bwMode="auto">
                    <a:xfrm>
                      <a:off x="0" y="0"/>
                      <a:ext cx="1447800" cy="647700"/>
                    </a:xfrm>
                    <a:prstGeom prst="rect">
                      <a:avLst/>
                    </a:prstGeom>
                  </pic:spPr>
                </pic:pic>
              </a:graphicData>
            </a:graphic>
          </wp:inline>
        </w:drawing>
      </w:r>
    </w:p>
    <w:p>
      <w:pPr>
        <w:pStyle w:val="TextBody"/>
        <w:pBdr/>
        <w:shd w:fill="FFFFFF" w:val="clear"/>
        <w:bidi w:val="0"/>
        <w:spacing w:lineRule="auto" w:line="307" w:before="0" w:after="0"/>
        <w:ind w:left="0" w:right="0" w:hanging="0"/>
        <w:jc w:val="center"/>
        <w:rPr>
          <w:rFonts w:ascii="Calibri;Helvetica;sans-serif" w:hAnsi="Calibri;Helvetica;sans-serif"/>
          <w:b/>
          <w:smallCaps/>
          <w:sz w:val="24"/>
        </w:rPr>
      </w:pPr>
      <w:r>
        <w:rPr>
          <w:rFonts w:ascii="Calibri;Helvetica;sans-serif" w:hAnsi="Calibri;Helvetica;sans-serif"/>
          <w:b/>
          <w:smallCaps/>
          <w:sz w:val="24"/>
        </w:rPr>
        <w:t xml:space="preserve">Helius Medical Technologies, Inc. </w:t>
      </w:r>
    </w:p>
    <w:p>
      <w:pPr>
        <w:pStyle w:val="TextBody"/>
        <w:shd w:fill="FFFFFF" w:val="clear"/>
        <w:bidi w:val="0"/>
        <w:spacing w:lineRule="auto" w:line="307" w:before="0" w:after="160"/>
        <w:ind w:left="0" w:right="0" w:hanging="0"/>
        <w:jc w:val="center"/>
        <w:rPr>
          <w:rFonts w:ascii="Calibri;Helvetica;sans-serif" w:hAnsi="Calibri;Helvetica;sans-serif"/>
          <w:b/>
          <w:smallCaps/>
          <w:sz w:val="24"/>
        </w:rPr>
      </w:pPr>
      <w:r>
        <w:rPr>
          <w:rFonts w:ascii="Calibri;Helvetica;sans-serif" w:hAnsi="Calibri;Helvetica;sans-serif"/>
          <w:b/>
          <w:smallCaps/>
          <w:sz w:val="24"/>
        </w:rPr>
        <w:t>Policy for the Recovery of Erroneously Awarded Compensation</w:t>
      </w:r>
    </w:p>
    <w:p>
      <w:pPr>
        <w:pStyle w:val="TextBody"/>
        <w:pBdr>
          <w:bottom w:val="single" w:sz="12" w:space="1" w:color="000000"/>
        </w:pBdr>
        <w:bidi w:val="0"/>
        <w:spacing w:lineRule="auto" w:line="285" w:before="0" w:after="0"/>
        <w:ind w:left="0" w:right="0" w:hanging="0"/>
        <w:jc w:val="left"/>
        <w:rPr/>
      </w:pPr>
      <w:r>
        <w:rPr/>
        <w:t>​</w:t>
      </w:r>
    </w:p>
    <w:p>
      <w:pPr>
        <w:pStyle w:val="TextBody"/>
        <w:bidi w:val="0"/>
        <w:spacing w:lineRule="auto" w:line="285" w:before="0" w:after="240"/>
        <w:ind w:left="0" w:right="0" w:hanging="0"/>
        <w:jc w:val="center"/>
        <w:rPr>
          <w:caps w:val="false"/>
          <w:smallCaps w:val="false"/>
        </w:rPr>
      </w:pPr>
      <w:r>
        <w:rPr>
          <w:caps w:val="false"/>
          <w:smallCaps w:val="false"/>
        </w:rPr>
        <w:t>​</w:t>
      </w:r>
    </w:p>
    <w:p>
      <w:pPr>
        <w:pStyle w:val="TextBody"/>
        <w:bidi w:val="0"/>
        <w:spacing w:lineRule="auto" w:line="285" w:before="0" w:after="240"/>
        <w:ind w:left="0" w:right="0" w:hanging="0"/>
        <w:jc w:val="center"/>
        <w:rPr>
          <w:rFonts w:ascii="Times New Roman;Times;serif" w:hAnsi="Times New Roman;Times;serif"/>
          <w:b/>
          <w:i/>
          <w:sz w:val="24"/>
        </w:rPr>
      </w:pPr>
      <w:r>
        <w:rPr>
          <w:rFonts w:ascii="Times New Roman;Times;serif" w:hAnsi="Times New Roman;Times;serif"/>
          <w:b/>
          <w:i w:val="false"/>
          <w:caps w:val="false"/>
          <w:smallCaps w:val="false"/>
          <w:sz w:val="24"/>
        </w:rPr>
        <w:t>Adopted and approved on November 21, 2023</w:t>
      </w:r>
      <w:r>
        <w:rPr>
          <w:rFonts w:ascii="Times New Roman;Times;serif" w:hAnsi="Times New Roman;Times;serif"/>
          <w:b/>
          <w:i/>
          <w:caps w:val="false"/>
          <w:smallCaps w:val="false"/>
          <w:sz w:val="24"/>
        </w:rPr>
        <w:t xml:space="preserve"> </w:t>
      </w:r>
      <w:r>
        <w:rPr>
          <w:rFonts w:ascii="Times New Roman;Times;serif" w:hAnsi="Times New Roman;Times;serif"/>
          <w:b/>
          <w:i w:val="false"/>
          <w:caps w:val="false"/>
          <w:smallCaps w:val="false"/>
          <w:sz w:val="24"/>
        </w:rPr>
        <w:t>and Effective as of November 21, 2023</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1.</w:t>
      </w:r>
      <w:r>
        <w:rPr>
          <w:rFonts w:ascii="Times New Roman;Times;serif" w:hAnsi="Times New Roman;Times;serif"/>
          <w:b/>
          <w:smallCaps/>
          <w:sz w:val="24"/>
        </w:rPr>
        <w:t xml:space="preserve">Purpose. </w:t>
      </w:r>
      <w:r>
        <w:rPr>
          <w:rFonts w:ascii="Times New Roman;Times;serif" w:hAnsi="Times New Roman;Times;serif"/>
          <w:sz w:val="24"/>
        </w:rPr>
        <w:t xml:space="preserve">The Board of Directors (the </w:t>
      </w:r>
      <w:r>
        <w:rPr>
          <w:rFonts w:ascii="Times New Roman;Times;serif" w:hAnsi="Times New Roman;Times;serif"/>
          <w:sz w:val="22"/>
        </w:rPr>
        <w:t>“</w:t>
      </w:r>
      <w:r>
        <w:rPr>
          <w:rFonts w:ascii="Times New Roman;Times;serif" w:hAnsi="Times New Roman;Times;serif"/>
          <w:b/>
          <w:i/>
          <w:sz w:val="24"/>
        </w:rPr>
        <w:t>Board”</w:t>
      </w:r>
      <w:r>
        <w:rPr>
          <w:rFonts w:ascii="Times New Roman;Times;serif" w:hAnsi="Times New Roman;Times;serif"/>
          <w:sz w:val="24"/>
        </w:rPr>
        <w:t xml:space="preserve">) </w:t>
      </w:r>
      <w:r>
        <w:rPr>
          <w:rFonts w:ascii="Times New Roman;Times;serif" w:hAnsi="Times New Roman;Times;serif"/>
          <w:smallCaps/>
          <w:sz w:val="24"/>
        </w:rPr>
        <w:t>of Helius Medical Technologies, Inc</w:t>
      </w:r>
      <w:r>
        <w:rPr>
          <w:rFonts w:ascii="Times New Roman;Times;serif" w:hAnsi="Times New Roman;Times;serif"/>
          <w:sz w:val="24"/>
        </w:rPr>
        <w:t xml:space="preserve">., a Delaware corporation (the </w:t>
      </w:r>
      <w:r>
        <w:rPr>
          <w:rFonts w:ascii="Times New Roman;Times;serif" w:hAnsi="Times New Roman;Times;serif"/>
          <w:sz w:val="22"/>
        </w:rPr>
        <w:t>“</w:t>
      </w:r>
      <w:r>
        <w:rPr>
          <w:rFonts w:ascii="Times New Roman;Times;serif" w:hAnsi="Times New Roman;Times;serif"/>
          <w:b/>
          <w:i/>
          <w:sz w:val="24"/>
        </w:rPr>
        <w:t>Company”</w:t>
      </w:r>
      <w:r>
        <w:rPr>
          <w:rFonts w:ascii="Times New Roman;Times;serif" w:hAnsi="Times New Roman;Times;serif"/>
          <w:sz w:val="24"/>
        </w:rPr>
        <w:t xml:space="preserve">) believes that it is in the best interests of the Company and its stockholders to adopt this Policy for the Recovery of Erroneously Awarded Compensation, as may be amended from time to time (this </w:t>
      </w:r>
      <w:r>
        <w:rPr>
          <w:rFonts w:ascii="Times New Roman;Times;serif" w:hAnsi="Times New Roman;Times;serif"/>
          <w:sz w:val="22"/>
        </w:rPr>
        <w:t>“</w:t>
      </w:r>
      <w:r>
        <w:rPr>
          <w:rFonts w:ascii="Times New Roman;Times;serif" w:hAnsi="Times New Roman;Times;serif"/>
          <w:b/>
          <w:i/>
          <w:sz w:val="24"/>
        </w:rPr>
        <w:t>Policy”</w:t>
      </w:r>
      <w:r>
        <w:rPr>
          <w:rFonts w:ascii="Times New Roman;Times;serif" w:hAnsi="Times New Roman;Times;serif"/>
          <w:sz w:val="24"/>
        </w:rPr>
        <w:t xml:space="preserve">). This Policy requires the recovery of Erroneously Awarded Compensation by the Company from Covered Executive Officers in accordance with the terms herein. Promptly, but in no event later than 30 days, following the later of the Effective Date or becoming a Covered Executive Officer, each Covered Executive Officer shall sign and return to the Company the Acknowledgement Form attached hereto as </w:t>
      </w:r>
      <w:r>
        <w:rPr>
          <w:rFonts w:ascii="Times New Roman;Times;serif" w:hAnsi="Times New Roman;Times;serif"/>
          <w:smallCaps/>
          <w:sz w:val="24"/>
          <w:u w:val="single"/>
        </w:rPr>
        <w:t>Exhibit A</w:t>
      </w:r>
      <w:r>
        <w:rPr>
          <w:rFonts w:ascii="Times New Roman;Times;serif" w:hAnsi="Times New Roman;Times;serif"/>
          <w:sz w:val="22"/>
        </w:rPr>
        <w:t xml:space="preserve"> </w:t>
      </w:r>
      <w:r>
        <w:rPr>
          <w:rFonts w:ascii="Times New Roman;Times;serif" w:hAnsi="Times New Roman;Times;serif"/>
          <w:sz w:val="24"/>
        </w:rPr>
        <w:t>pursuant to which such Covered Executive Officer shall agree to be bound by the terms of and comply with this Policy.  All capitalized terms used and not otherwise defined herein shall have the meanings set forth in Section 3 hereof.</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2.</w:t>
      </w:r>
      <w:r>
        <w:rPr>
          <w:rFonts w:ascii="Times New Roman;Times;serif" w:hAnsi="Times New Roman;Times;serif"/>
          <w:b/>
          <w:smallCaps/>
          <w:sz w:val="24"/>
        </w:rPr>
        <w:t xml:space="preserve">Administration. </w:t>
      </w:r>
      <w:r>
        <w:rPr>
          <w:rFonts w:ascii="Times New Roman;Times;serif" w:hAnsi="Times New Roman;Times;serif"/>
          <w:sz w:val="24"/>
        </w:rPr>
        <w:t xml:space="preserve">This Policy shall be administered by the Compensation Committee of the Board (the </w:t>
      </w:r>
      <w:r>
        <w:rPr>
          <w:rFonts w:ascii="Times New Roman;Times;serif" w:hAnsi="Times New Roman;Times;serif"/>
          <w:sz w:val="22"/>
        </w:rPr>
        <w:t>“</w:t>
      </w:r>
      <w:r>
        <w:rPr>
          <w:rFonts w:ascii="Times New Roman;Times;serif" w:hAnsi="Times New Roman;Times;serif"/>
          <w:b/>
          <w:i/>
          <w:sz w:val="24"/>
        </w:rPr>
        <w:t>Compensation Committee”</w:t>
      </w:r>
      <w:r>
        <w:rPr>
          <w:rFonts w:ascii="Times New Roman;Times;serif" w:hAnsi="Times New Roman;Times;serif"/>
          <w:sz w:val="24"/>
        </w:rPr>
        <w:t xml:space="preserve">) or, if so designated by the Board, the Board or another committee thereof (the </w:t>
      </w:r>
      <w:r>
        <w:rPr>
          <w:rFonts w:ascii="Times New Roman;Times;serif" w:hAnsi="Times New Roman;Times;serif"/>
          <w:sz w:val="22"/>
        </w:rPr>
        <w:t>“</w:t>
      </w:r>
      <w:r>
        <w:rPr>
          <w:rFonts w:ascii="Times New Roman;Times;serif" w:hAnsi="Times New Roman;Times;serif"/>
          <w:b/>
          <w:i/>
          <w:sz w:val="24"/>
        </w:rPr>
        <w:t>Administrator”</w:t>
      </w:r>
      <w:r>
        <w:rPr>
          <w:rFonts w:ascii="Times New Roman;Times;serif" w:hAnsi="Times New Roman;Times;serif"/>
          <w:sz w:val="24"/>
        </w:rPr>
        <w:t>). The Administrator is authorized to interpret and enforce this Policy and to make all determinations necessary, appropriate or advisable for the administration of this Policy. Any determinations made by the Administrator shall be final and binding on all affected persons and need not be uniform with respect to each person covered by this Policy. This Policy is designed to comply with, and shall be interpreted by the Administrator in a manner consistent with, Section 10D (</w:t>
      </w:r>
      <w:r>
        <w:rPr>
          <w:rFonts w:ascii="Times New Roman;Times;serif" w:hAnsi="Times New Roman;Times;serif"/>
          <w:sz w:val="22"/>
        </w:rPr>
        <w:t>“</w:t>
      </w:r>
      <w:r>
        <w:rPr>
          <w:rFonts w:ascii="Times New Roman;Times;serif" w:hAnsi="Times New Roman;Times;serif"/>
          <w:b/>
          <w:i/>
          <w:sz w:val="24"/>
        </w:rPr>
        <w:t>Section 10D”</w:t>
      </w:r>
      <w:r>
        <w:rPr>
          <w:rFonts w:ascii="Times New Roman;Times;serif" w:hAnsi="Times New Roman;Times;serif"/>
          <w:sz w:val="24"/>
        </w:rPr>
        <w:t xml:space="preserve">) of the Securities Exchange Act of 1934 (the </w:t>
      </w:r>
      <w:r>
        <w:rPr>
          <w:rFonts w:ascii="Times New Roman;Times;serif" w:hAnsi="Times New Roman;Times;serif"/>
          <w:sz w:val="22"/>
        </w:rPr>
        <w:t>“</w:t>
      </w:r>
      <w:r>
        <w:rPr>
          <w:rFonts w:ascii="Times New Roman;Times;serif" w:hAnsi="Times New Roman;Times;serif"/>
          <w:b/>
          <w:i/>
          <w:sz w:val="24"/>
        </w:rPr>
        <w:t>Exchange Act”</w:t>
      </w:r>
      <w:r>
        <w:rPr>
          <w:rFonts w:ascii="Times New Roman;Times;serif" w:hAnsi="Times New Roman;Times;serif"/>
          <w:sz w:val="24"/>
        </w:rPr>
        <w:t>), Rule 10D-1 promulgated under the Exchange Act (</w:t>
      </w:r>
      <w:r>
        <w:rPr>
          <w:rFonts w:ascii="Times New Roman;Times;serif" w:hAnsi="Times New Roman;Times;serif"/>
          <w:sz w:val="22"/>
        </w:rPr>
        <w:t>“</w:t>
      </w:r>
      <w:r>
        <w:rPr>
          <w:rFonts w:ascii="Times New Roman;Times;serif" w:hAnsi="Times New Roman;Times;serif"/>
          <w:b/>
          <w:i/>
          <w:sz w:val="24"/>
        </w:rPr>
        <w:t>Rule 10D-1”</w:t>
      </w:r>
      <w:r>
        <w:rPr>
          <w:rFonts w:ascii="Times New Roman;Times;serif" w:hAnsi="Times New Roman;Times;serif"/>
          <w:sz w:val="24"/>
        </w:rPr>
        <w:t xml:space="preserve">) and Nasdaq Listing Rule 5608 (the </w:t>
      </w:r>
      <w:r>
        <w:rPr>
          <w:rFonts w:ascii="Times New Roman;Times;serif" w:hAnsi="Times New Roman;Times;serif"/>
          <w:sz w:val="22"/>
        </w:rPr>
        <w:t>“</w:t>
      </w:r>
      <w:r>
        <w:rPr>
          <w:rFonts w:ascii="Times New Roman;Times;serif" w:hAnsi="Times New Roman;Times;serif"/>
          <w:b/>
          <w:i/>
          <w:sz w:val="24"/>
        </w:rPr>
        <w:t>Listing Standards”</w:t>
      </w:r>
      <w:r>
        <w:rPr>
          <w:rFonts w:ascii="Times New Roman;Times;serif" w:hAnsi="Times New Roman;Times;serif"/>
          <w:sz w:val="24"/>
        </w:rPr>
        <w:t xml:space="preserve">), each as may be amended from time to time. In the administration of this Policy, the Administrator is authorized to consult with the full Board or other committees of the Board, as well as retain any counsel, advisors and consultants. </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3.</w:t>
      </w:r>
      <w:r>
        <w:rPr>
          <w:rFonts w:ascii="Times New Roman;Times;serif" w:hAnsi="Times New Roman;Times;serif"/>
          <w:b/>
          <w:smallCaps/>
          <w:sz w:val="24"/>
        </w:rPr>
        <w:t xml:space="preserve">Definitions. </w:t>
      </w:r>
      <w:r>
        <w:rPr>
          <w:rFonts w:ascii="Times New Roman;Times;serif" w:hAnsi="Times New Roman;Times;serif"/>
          <w:sz w:val="24"/>
        </w:rPr>
        <w:t>For purposes of this Policy, the following capitalized terms shall have the meanings set forth below.</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(a)</w:t>
      </w:r>
      <w:r>
        <w:rPr>
          <w:rFonts w:ascii="Times New Roman;Times;serif" w:hAnsi="Times New Roman;Times;serif"/>
          <w:sz w:val="22"/>
        </w:rPr>
        <w:t>“</w:t>
      </w:r>
      <w:r>
        <w:rPr>
          <w:rFonts w:ascii="Times New Roman;Times;serif" w:hAnsi="Times New Roman;Times;serif"/>
          <w:b/>
          <w:i/>
          <w:sz w:val="24"/>
        </w:rPr>
        <w:t>Accounting Restatement”</w:t>
      </w:r>
      <w:r>
        <w:rPr>
          <w:rFonts w:ascii="Times New Roman;Times;serif" w:hAnsi="Times New Roman;Times;serif"/>
          <w:sz w:val="22"/>
        </w:rPr>
        <w:t xml:space="preserve"> </w:t>
      </w:r>
      <w:r>
        <w:rPr>
          <w:rFonts w:ascii="Times New Roman;Times;serif" w:hAnsi="Times New Roman;Times;serif"/>
          <w:sz w:val="24"/>
        </w:rPr>
        <w:t xml:space="preserve">means an accounting restatement of the Company’s financial statements due to the material noncompliance of the Company with any financial reporting requirement under the securities laws, including any required accounting restatement to correct an error in previously issued financial statements (i) that is material to the previously issued financial statements, or (ii) that is not material to the previously issued financial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Calibri;Helvetica;sans-serif" w:hAnsi="Calibri;Helvetica;sans-serif"/>
          <w:b/>
          <w:sz w:val="22"/>
        </w:rPr>
      </w:pPr>
      <w:r>
        <w:rPr>
          <w:rFonts w:ascii="Calibri;Helvetica;sans-serif" w:hAnsi="Calibri;Helvetica;sans-serif"/>
          <w:b/>
          <w:sz w:val="22"/>
        </w:rPr>
        <w:t>Exhibit 97.1</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statements but that would have resulted in a material misstatement if the error were corrected in the current period or left uncorrected in the current period.</w:t>
      </w:r>
    </w:p>
    <w:p>
      <w:pPr>
        <w:pStyle w:val="TextBody"/>
        <w:bidi w:val="0"/>
        <w:spacing w:lineRule="auto" w:line="285" w:before="0" w:after="0"/>
        <w:ind w:left="144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(b)</w:t>
      </w:r>
      <w:r>
        <w:rPr>
          <w:rFonts w:ascii="Times New Roman;Times;serif" w:hAnsi="Times New Roman;Times;serif"/>
          <w:sz w:val="22"/>
        </w:rPr>
        <w:t>“</w:t>
      </w:r>
      <w:r>
        <w:rPr>
          <w:rFonts w:ascii="Times New Roman;Times;serif" w:hAnsi="Times New Roman;Times;serif"/>
          <w:b/>
          <w:i/>
          <w:sz w:val="24"/>
        </w:rPr>
        <w:t>Clawback Eligible Incentive Compensation”</w:t>
      </w:r>
      <w:r>
        <w:rPr>
          <w:rFonts w:ascii="Times New Roman;Times;serif" w:hAnsi="Times New Roman;Times;serif"/>
          <w:sz w:val="22"/>
        </w:rPr>
        <w:t xml:space="preserve"> </w:t>
      </w:r>
      <w:r>
        <w:rPr>
          <w:rFonts w:ascii="Times New Roman;Times;serif" w:hAnsi="Times New Roman;Times;serif"/>
          <w:sz w:val="24"/>
        </w:rPr>
        <w:t>means all Incentive-Based Compensation Received by a Covered Executive Officer (i) on or after October 2, 2023, (ii) if that person served as an executive officer of the Company at any time during the performance period for such Incentive-Based Compensation</w:t>
      </w:r>
      <w:r>
        <w:rPr>
          <w:rFonts w:ascii="Times New Roman;Times;serif" w:hAnsi="Times New Roman;Times;serif"/>
          <w:sz w:val="22"/>
        </w:rPr>
        <w:t xml:space="preserve"> </w:t>
      </w:r>
      <w:r>
        <w:rPr>
          <w:rFonts w:ascii="Times New Roman;Times;serif" w:hAnsi="Times New Roman;Times;serif"/>
          <w:sz w:val="24"/>
        </w:rPr>
        <w:t>(whether or not such executive officer is serving as an executive officer or employee of the Company at the time the Erroneously Awarded Compensation is required to be recovered by the Company), and (iii) while the Company had a class of securities listed on a national securities exchange or a national securities association.</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(c)</w:t>
      </w:r>
      <w:r>
        <w:rPr>
          <w:rFonts w:ascii="Times New Roman;Times;serif" w:hAnsi="Times New Roman;Times;serif"/>
          <w:sz w:val="22"/>
        </w:rPr>
        <w:t>“</w:t>
      </w:r>
      <w:r>
        <w:rPr>
          <w:rFonts w:ascii="Times New Roman;Times;serif" w:hAnsi="Times New Roman;Times;serif"/>
          <w:b/>
          <w:i/>
          <w:sz w:val="24"/>
        </w:rPr>
        <w:t>Clawback Period”</w:t>
      </w:r>
      <w:r>
        <w:rPr>
          <w:rFonts w:ascii="Times New Roman;Times;serif" w:hAnsi="Times New Roman;Times;serif"/>
          <w:sz w:val="22"/>
        </w:rPr>
        <w:t xml:space="preserve"> </w:t>
      </w:r>
      <w:r>
        <w:rPr>
          <w:rFonts w:ascii="Times New Roman;Times;serif" w:hAnsi="Times New Roman;Times;serif"/>
          <w:sz w:val="24"/>
        </w:rPr>
        <w:t>means with respect to any Accounting Restatement, (i) the three completed fiscal years of the Company immediately preceding the Restatement Date and (ii) any transition period that results from a change in the Company’s fiscal year of less than nine months within or immediately following such three completed fiscal years, provided that a transition period that comprises a period of at least nine months shall count as a completed fiscal year.</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(d)</w:t>
      </w:r>
      <w:r>
        <w:rPr>
          <w:rFonts w:ascii="Times New Roman;Times;serif" w:hAnsi="Times New Roman;Times;serif"/>
          <w:sz w:val="22"/>
        </w:rPr>
        <w:t>“</w:t>
      </w:r>
      <w:r>
        <w:rPr>
          <w:rFonts w:ascii="Times New Roman;Times;serif" w:hAnsi="Times New Roman;Times;serif"/>
          <w:b/>
          <w:i/>
          <w:sz w:val="24"/>
        </w:rPr>
        <w:t xml:space="preserve">Code” </w:t>
      </w:r>
      <w:r>
        <w:rPr>
          <w:rFonts w:ascii="Times New Roman;Times;serif" w:hAnsi="Times New Roman;Times;serif"/>
          <w:sz w:val="24"/>
        </w:rPr>
        <w:t>means the Internal Revenue Code of 1986, as amended, and the regulations and guidance issued thereunder.</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(e)</w:t>
      </w:r>
      <w:r>
        <w:rPr>
          <w:rFonts w:ascii="Times New Roman;Times;serif" w:hAnsi="Times New Roman;Times;serif"/>
          <w:sz w:val="22"/>
        </w:rPr>
        <w:t>“</w:t>
      </w:r>
      <w:r>
        <w:rPr>
          <w:rFonts w:ascii="Times New Roman;Times;serif" w:hAnsi="Times New Roman;Times;serif"/>
          <w:b/>
          <w:i/>
          <w:sz w:val="24"/>
        </w:rPr>
        <w:t xml:space="preserve">Covered Executive Officer” </w:t>
      </w:r>
      <w:r>
        <w:rPr>
          <w:rFonts w:ascii="Times New Roman;Times;serif" w:hAnsi="Times New Roman;Times;serif"/>
          <w:sz w:val="24"/>
        </w:rPr>
        <w:t>means the Company’s current and former executive officers, as determined by the Board or an applicable committee in accordance with the definition of “executive officer” set forth in Rule 10D-1 and the Listing Standards. Unless determined otherwise by the Board or the Administrator, Covered Executive Officers for this Policy shall be any person designated by the Board as an “officer” under Rule 16a-1(f) under the Exchange Act.</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(f)</w:t>
      </w:r>
      <w:r>
        <w:rPr>
          <w:rFonts w:ascii="Times New Roman;Times;serif" w:hAnsi="Times New Roman;Times;serif"/>
          <w:sz w:val="22"/>
        </w:rPr>
        <w:t>“</w:t>
      </w:r>
      <w:r>
        <w:rPr>
          <w:rFonts w:ascii="Times New Roman;Times;serif" w:hAnsi="Times New Roman;Times;serif"/>
          <w:b/>
          <w:i/>
          <w:sz w:val="24"/>
        </w:rPr>
        <w:t>Effective Date”</w:t>
      </w:r>
      <w:r>
        <w:rPr>
          <w:rFonts w:ascii="Times New Roman;Times;serif" w:hAnsi="Times New Roman;Times;serif"/>
          <w:sz w:val="22"/>
        </w:rPr>
        <w:t xml:space="preserve"> </w:t>
      </w:r>
      <w:r>
        <w:rPr>
          <w:rFonts w:ascii="Times New Roman;Times;serif" w:hAnsi="Times New Roman;Times;serif"/>
          <w:sz w:val="24"/>
        </w:rPr>
        <w:t xml:space="preserve">means </w:t>
      </w:r>
      <w:r>
        <w:rPr>
          <w:rFonts w:ascii="Times New Roman;Times;serif" w:hAnsi="Times New Roman;Times;serif"/>
          <w:sz w:val="22"/>
        </w:rPr>
        <w:t>November 21</w:t>
      </w:r>
      <w:r>
        <w:rPr>
          <w:rFonts w:ascii="Times New Roman;Times;serif" w:hAnsi="Times New Roman;Times;serif"/>
          <w:sz w:val="24"/>
        </w:rPr>
        <w:t>, 2023.</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(g)</w:t>
      </w:r>
      <w:r>
        <w:rPr>
          <w:rFonts w:ascii="Times New Roman;Times;serif" w:hAnsi="Times New Roman;Times;serif"/>
          <w:sz w:val="22"/>
        </w:rPr>
        <w:t>“</w:t>
      </w:r>
      <w:r>
        <w:rPr>
          <w:rFonts w:ascii="Times New Roman;Times;serif" w:hAnsi="Times New Roman;Times;serif"/>
          <w:b/>
          <w:i/>
          <w:sz w:val="24"/>
        </w:rPr>
        <w:t>Erroneously Awarded Compensation</w:t>
      </w:r>
      <w:r>
        <w:rPr>
          <w:rFonts w:ascii="Times New Roman;Times;serif" w:hAnsi="Times New Roman;Times;serif"/>
          <w:sz w:val="22"/>
        </w:rPr>
        <w:t xml:space="preserve">” </w:t>
      </w:r>
      <w:r>
        <w:rPr>
          <w:rFonts w:ascii="Times New Roman;Times;serif" w:hAnsi="Times New Roman;Times;serif"/>
          <w:sz w:val="24"/>
        </w:rPr>
        <w:t>means with respect to each Covered Executive Officer and in connection with an Accounting Restatement, the amount of Clawback Eligible Incentive Compensation Received by the Covered Executive Officer during the Clawback Period that exceeds the amount of Clawback Eligible Incentive-Based Compensation that otherwise would have been Received by the Covered Executive Officer during the Clawback Period had it been determined based on the restated amounts, computed without regard to any taxes paid or payable by the Covered Executive Officer.</w:t>
      </w:r>
    </w:p>
    <w:p>
      <w:pPr>
        <w:pStyle w:val="TextBody"/>
        <w:bidi w:val="0"/>
        <w:spacing w:lineRule="auto" w:line="285" w:before="0" w:after="0"/>
        <w:ind w:left="720" w:right="0" w:hanging="0"/>
        <w:jc w:val="left"/>
        <w:rPr>
          <w:spacing w:val="-1"/>
        </w:rPr>
      </w:pPr>
      <w:r>
        <w:rPr>
          <w:spacing w:val="-1"/>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(h)</w:t>
      </w:r>
      <w:r>
        <w:rPr>
          <w:rFonts w:ascii="Times New Roman;Times;serif" w:hAnsi="Times New Roman;Times;serif"/>
          <w:spacing w:val="-1"/>
          <w:sz w:val="22"/>
        </w:rPr>
        <w:t>“</w:t>
      </w:r>
      <w:r>
        <w:rPr>
          <w:rFonts w:ascii="Times New Roman;Times;serif" w:hAnsi="Times New Roman;Times;serif"/>
          <w:b/>
          <w:i/>
          <w:spacing w:val="-1"/>
          <w:sz w:val="24"/>
        </w:rPr>
        <w:t>Financial Reporting Measures”</w:t>
      </w:r>
      <w:r>
        <w:rPr>
          <w:rFonts w:ascii="Times New Roman;Times;serif" w:hAnsi="Times New Roman;Times;serif"/>
          <w:spacing w:val="-1"/>
          <w:sz w:val="22"/>
        </w:rPr>
        <w:t xml:space="preserve"> </w:t>
      </w:r>
      <w:r>
        <w:rPr>
          <w:rFonts w:ascii="Times New Roman;Times;serif" w:hAnsi="Times New Roman;Times;serif"/>
          <w:spacing w:val="-1"/>
          <w:sz w:val="24"/>
        </w:rPr>
        <w:t xml:space="preserve">means measures that are determined and presented in accordance with the accounting principles used in preparing the Company’s financial statements, and any other measures that are derived wholly or in part from such measures. Financial Reporting Measures include GAAP and non-GAAP financial measures and include but are not limited to the following (and any measures derived wholly or in part therefrom): Company stock price; total shareholder return; revenues; net or operating income; profitability of one or more reportable segments; financial ratios; net assets or net asset value per share; EBITDA; funds from operations; liquidity measures; return measures; earnings measures; sales per square foot or same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Calibri;Helvetica;sans-serif" w:hAnsi="Calibri;Helvetica;sans-serif"/>
          <w:b/>
          <w:sz w:val="22"/>
        </w:rPr>
      </w:pPr>
      <w:r>
        <w:rPr>
          <w:rFonts w:ascii="Calibri;Helvetica;sans-serif" w:hAnsi="Calibri;Helvetica;sans-serif"/>
          <w:b/>
          <w:sz w:val="22"/>
        </w:rPr>
        <w:t>Exhibit 97.1</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pacing w:val="-1"/>
          <w:sz w:val="24"/>
        </w:rPr>
      </w:pPr>
      <w:r>
        <w:rPr>
          <w:rFonts w:ascii="Times New Roman;Times;serif" w:hAnsi="Times New Roman;Times;serif"/>
          <w:spacing w:val="-1"/>
          <w:sz w:val="24"/>
        </w:rPr>
        <w:t>store sales; revenue per user, or average revenue per user; and any adjusted measure of any of the foregoing measures. For the avoidance of doubt, a Financial Reporting Measure need not be presented in the Company’s financial statements or included in a Company filing with the SEC.</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(i)</w:t>
      </w:r>
      <w:r>
        <w:rPr>
          <w:rFonts w:ascii="Times New Roman;Times;serif" w:hAnsi="Times New Roman;Times;serif"/>
          <w:sz w:val="22"/>
        </w:rPr>
        <w:t>“</w:t>
      </w:r>
      <w:r>
        <w:rPr>
          <w:rFonts w:ascii="Times New Roman;Times;serif" w:hAnsi="Times New Roman;Times;serif"/>
          <w:b/>
          <w:i/>
          <w:sz w:val="24"/>
        </w:rPr>
        <w:t>Group Companies”</w:t>
      </w:r>
      <w:r>
        <w:rPr>
          <w:rFonts w:ascii="Times New Roman;Times;serif" w:hAnsi="Times New Roman;Times;serif"/>
          <w:sz w:val="22"/>
        </w:rPr>
        <w:t xml:space="preserve"> </w:t>
      </w:r>
      <w:r>
        <w:rPr>
          <w:rFonts w:ascii="Times New Roman;Times;serif" w:hAnsi="Times New Roman;Times;serif"/>
          <w:sz w:val="24"/>
        </w:rPr>
        <w:t>means any of the Company’s direct and indirect Subsidiaries and affiliates.</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(j)</w:t>
      </w:r>
      <w:r>
        <w:rPr>
          <w:rFonts w:ascii="Times New Roman;Times;serif" w:hAnsi="Times New Roman;Times;serif"/>
          <w:sz w:val="22"/>
        </w:rPr>
        <w:t>“</w:t>
      </w:r>
      <w:r>
        <w:rPr>
          <w:rFonts w:ascii="Times New Roman;Times;serif" w:hAnsi="Times New Roman;Times;serif"/>
          <w:b/>
          <w:i/>
          <w:sz w:val="24"/>
        </w:rPr>
        <w:t>Incentive-Based Compensation”</w:t>
      </w:r>
      <w:r>
        <w:rPr>
          <w:rFonts w:ascii="Times New Roman;Times;serif" w:hAnsi="Times New Roman;Times;serif"/>
          <w:sz w:val="22"/>
        </w:rPr>
        <w:t xml:space="preserve"> </w:t>
      </w:r>
      <w:r>
        <w:rPr>
          <w:rFonts w:ascii="Times New Roman;Times;serif" w:hAnsi="Times New Roman;Times;serif"/>
          <w:sz w:val="24"/>
        </w:rPr>
        <w:t xml:space="preserve">means any compensation that is granted, earned or vested based wholly or in part upon the attainment of a Financial Reporting Measure. </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(k)</w:t>
      </w:r>
      <w:r>
        <w:rPr>
          <w:rFonts w:ascii="Times New Roman;Times;serif" w:hAnsi="Times New Roman;Times;serif"/>
          <w:sz w:val="22"/>
        </w:rPr>
        <w:t>“</w:t>
      </w:r>
      <w:r>
        <w:rPr>
          <w:rFonts w:ascii="Times New Roman;Times;serif" w:hAnsi="Times New Roman;Times;serif"/>
          <w:b/>
          <w:i/>
          <w:sz w:val="24"/>
        </w:rPr>
        <w:t>Nasdaq”</w:t>
      </w:r>
      <w:r>
        <w:rPr>
          <w:rFonts w:ascii="Times New Roman;Times;serif" w:hAnsi="Times New Roman;Times;serif"/>
          <w:sz w:val="22"/>
        </w:rPr>
        <w:t xml:space="preserve"> </w:t>
      </w:r>
      <w:r>
        <w:rPr>
          <w:rFonts w:ascii="Times New Roman;Times;serif" w:hAnsi="Times New Roman;Times;serif"/>
          <w:sz w:val="24"/>
        </w:rPr>
        <w:t>means The Nasdaq Stock Market or any other national securities exchange or association on which the Company’s securities are listed as of the applicable date.</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(l)</w:t>
      </w:r>
      <w:r>
        <w:rPr>
          <w:rFonts w:ascii="Times New Roman;Times;serif" w:hAnsi="Times New Roman;Times;serif"/>
          <w:sz w:val="22"/>
        </w:rPr>
        <w:t>“</w:t>
      </w:r>
      <w:r>
        <w:rPr>
          <w:rFonts w:ascii="Times New Roman;Times;serif" w:hAnsi="Times New Roman;Times;serif"/>
          <w:b/>
          <w:i/>
          <w:sz w:val="24"/>
        </w:rPr>
        <w:t xml:space="preserve">Received” </w:t>
      </w:r>
      <w:r>
        <w:rPr>
          <w:rFonts w:ascii="Times New Roman;Times;serif" w:hAnsi="Times New Roman;Times;serif"/>
          <w:sz w:val="24"/>
        </w:rPr>
        <w:t>means with respect to any Incentive-Based Compensation, actual or deemed receipt. Incentive-Based Compensation shall be deemed to be Received in the Company’s fiscal period during which the Financial Reporting Measure specified in the Incentive-Based Compensation award is attained, even if payment or grant of the earned Incentive-Based Compensation occurs after the end of the performance period.  For the avoidance of doubt, Incentive-Based Compensation that is subject to both a Financial Reporting Measure vesting condition and a service-based vesting condition shall be considered Received when the relevant Financial Reporting Measure is attained, even if the Incentive-Based Compensation continues to be subject to the service-based vesting condition.</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(m)</w:t>
      </w:r>
      <w:r>
        <w:rPr>
          <w:rFonts w:ascii="Times New Roman;Times;serif" w:hAnsi="Times New Roman;Times;serif"/>
          <w:sz w:val="22"/>
        </w:rPr>
        <w:t>“</w:t>
      </w:r>
      <w:r>
        <w:rPr>
          <w:rFonts w:ascii="Times New Roman;Times;serif" w:hAnsi="Times New Roman;Times;serif"/>
          <w:b/>
          <w:i/>
          <w:sz w:val="24"/>
        </w:rPr>
        <w:t>Restatement Date”</w:t>
      </w:r>
      <w:r>
        <w:rPr>
          <w:rFonts w:ascii="Times New Roman;Times;serif" w:hAnsi="Times New Roman;Times;serif"/>
          <w:sz w:val="22"/>
        </w:rPr>
        <w:t xml:space="preserve"> </w:t>
      </w:r>
      <w:r>
        <w:rPr>
          <w:rFonts w:ascii="Times New Roman;Times;serif" w:hAnsi="Times New Roman;Times;serif"/>
          <w:sz w:val="24"/>
        </w:rPr>
        <w:t>means the earlier to occur of (i) the date that the Board, a committee thereof or any of the Company’s officers authorized to take such action if Board action is not required concluded, or reasonably should have concluded, that the Company is required to prepare an Accounting Restatement; or (ii) the date that a court, regulator or other legally authorized body directs the Company to prepare an Accounting Restatement, in each case regardless of when the restated financial statements are filed.</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(n)</w:t>
      </w:r>
      <w:r>
        <w:rPr>
          <w:rFonts w:ascii="Times New Roman;Times;serif" w:hAnsi="Times New Roman;Times;serif"/>
          <w:sz w:val="22"/>
        </w:rPr>
        <w:t>“</w:t>
      </w:r>
      <w:r>
        <w:rPr>
          <w:rFonts w:ascii="Times New Roman;Times;serif" w:hAnsi="Times New Roman;Times;serif"/>
          <w:b/>
          <w:i/>
          <w:sz w:val="24"/>
        </w:rPr>
        <w:t xml:space="preserve">SEC” </w:t>
      </w:r>
      <w:r>
        <w:rPr>
          <w:rFonts w:ascii="Times New Roman;Times;serif" w:hAnsi="Times New Roman;Times;serif"/>
          <w:sz w:val="24"/>
        </w:rPr>
        <w:t>means the U.S. Securities and Exchange Commission.</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(o)</w:t>
      </w:r>
      <w:r>
        <w:rPr>
          <w:rFonts w:ascii="Times New Roman;Times;serif" w:hAnsi="Times New Roman;Times;serif"/>
          <w:sz w:val="22"/>
        </w:rPr>
        <w:t>“</w:t>
      </w:r>
      <w:r>
        <w:rPr>
          <w:rFonts w:ascii="Times New Roman;Times;serif" w:hAnsi="Times New Roman;Times;serif"/>
          <w:b/>
          <w:i/>
          <w:sz w:val="24"/>
        </w:rPr>
        <w:t>Section 409A”</w:t>
      </w:r>
      <w:r>
        <w:rPr>
          <w:rFonts w:ascii="Times New Roman;Times;serif" w:hAnsi="Times New Roman;Times;serif"/>
          <w:sz w:val="22"/>
        </w:rPr>
        <w:t xml:space="preserve"> </w:t>
      </w:r>
      <w:r>
        <w:rPr>
          <w:rFonts w:ascii="Times New Roman;Times;serif" w:hAnsi="Times New Roman;Times;serif"/>
          <w:sz w:val="24"/>
        </w:rPr>
        <w:t>means Section 409A of the Code.</w:t>
      </w:r>
    </w:p>
    <w:p>
      <w:pPr>
        <w:pStyle w:val="TextBody"/>
        <w:bidi w:val="0"/>
        <w:spacing w:lineRule="auto" w:line="285" w:before="0" w:after="0"/>
        <w:ind w:left="720" w:right="0" w:hanging="0"/>
        <w:jc w:val="left"/>
        <w:rPr>
          <w:smallCaps/>
        </w:rPr>
      </w:pPr>
      <w:r>
        <w:rPr>
          <w:smallCaps/>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4.</w:t>
      </w:r>
      <w:r>
        <w:rPr>
          <w:rFonts w:ascii="Times New Roman;Times;serif" w:hAnsi="Times New Roman;Times;serif"/>
          <w:b/>
          <w:smallCaps/>
          <w:sz w:val="24"/>
        </w:rPr>
        <w:t>Recovery of Erroneously Awarded Compensation.</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(a)</w:t>
      </w:r>
      <w:r>
        <w:rPr>
          <w:rFonts w:ascii="Times New Roman;Times;serif" w:hAnsi="Times New Roman;Times;serif"/>
          <w:sz w:val="24"/>
        </w:rPr>
        <w:t>In the event of an Accounting Restatement, the Administrator shall reasonably promptly recover any Erroneously Awarded Compensation and in a manner set forth in this Section 4. In connection therewith, the Administrator shall reasonably promptly (A) determine the amount of any Erroneously Awarded Compensation for each Covered Executive Officer in connection with such Accounting Restatement and (B) thereafter provide each Covered Executive Officer with a written notice containing the amount of Erroneously Awarded Compensation,</w:t>
      </w:r>
      <w:r>
        <w:rPr>
          <w:rFonts w:ascii="Times New Roman;Times;serif" w:hAnsi="Times New Roman;Times;serif"/>
          <w:sz w:val="22"/>
        </w:rPr>
        <w:t xml:space="preserve"> </w:t>
      </w:r>
      <w:r>
        <w:rPr>
          <w:rFonts w:ascii="Times New Roman;Times;serif" w:hAnsi="Times New Roman;Times;serif"/>
          <w:sz w:val="24"/>
        </w:rPr>
        <w:t>the applicable methodology and calculation of such amount,</w:t>
      </w:r>
      <w:r>
        <w:rPr>
          <w:rFonts w:ascii="Times New Roman;Times;serif" w:hAnsi="Times New Roman;Times;serif"/>
          <w:sz w:val="22"/>
        </w:rPr>
        <w:t xml:space="preserve"> </w:t>
      </w:r>
      <w:r>
        <w:rPr>
          <w:rFonts w:ascii="Times New Roman;Times;serif" w:hAnsi="Times New Roman;Times;serif"/>
          <w:sz w:val="24"/>
        </w:rPr>
        <w:t xml:space="preserve">and the method of recovery, as applicable.  Prior to sending any such formal demand for recovery as determined pursuant to this Policy, the Administrator may, in its sole discretion depending on the specific facts and circumstances, provide a Covered Executive Officer with an initial written notice containing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Calibri;Helvetica;sans-serif" w:hAnsi="Calibri;Helvetica;sans-serif"/>
          <w:b/>
          <w:sz w:val="22"/>
        </w:rPr>
      </w:pPr>
      <w:r>
        <w:rPr>
          <w:rFonts w:ascii="Calibri;Helvetica;sans-serif" w:hAnsi="Calibri;Helvetica;sans-serif"/>
          <w:b/>
          <w:sz w:val="22"/>
        </w:rPr>
        <w:t>Exhibit 97.1</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the foregoing information, and may provide the Covered Executive Officer with the opportunity to be heard at a meeting or otherwise respond in writing to such information.</w:t>
      </w:r>
    </w:p>
    <w:p>
      <w:pPr>
        <w:pStyle w:val="TextBody"/>
        <w:bidi w:val="0"/>
        <w:spacing w:lineRule="auto" w:line="285" w:before="0" w:after="0"/>
        <w:ind w:left="216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(i)</w:t>
      </w:r>
      <w:r>
        <w:rPr>
          <w:rFonts w:ascii="Times New Roman;Times;serif" w:hAnsi="Times New Roman;Times;serif"/>
          <w:sz w:val="24"/>
        </w:rPr>
        <w:t>Recovery under this Policy with respect to a Covered Executive Officer shall not require the finding of any misconduct by such Covered Executive Officer or such Covered Executive Officer being found responsible for the accounting error leading to an Accounting Restatement.</w:t>
      </w:r>
    </w:p>
    <w:p>
      <w:pPr>
        <w:pStyle w:val="TextBody"/>
        <w:bidi w:val="0"/>
        <w:spacing w:lineRule="auto" w:line="285" w:before="0" w:after="0"/>
        <w:ind w:left="216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(ii)</w:t>
      </w:r>
      <w:r>
        <w:rPr>
          <w:rFonts w:ascii="Times New Roman;Times;serif" w:hAnsi="Times New Roman;Times;serif"/>
          <w:sz w:val="24"/>
        </w:rPr>
        <w:t>For Incentive-Based Compensation based on (or derived from) stock price or total shareholder return (or a similar Financial Reporting Measure)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(or such similar Financial Reporting Measure) upon which the Incentive-Based Compensation was Received; provided that the Company shall maintain documentation of the determination of such reasonable estimate and provide such documentation to Nasdaq.</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(iii)</w:t>
      </w:r>
      <w:r>
        <w:rPr>
          <w:rFonts w:ascii="Times New Roman;Times;serif" w:hAnsi="Times New Roman;Times;serif"/>
          <w:sz w:val="24"/>
        </w:rPr>
        <w:t>Where Incentive-Based Compensation is based only in part on the achievement of a Financial Reporting Measure, the Administrator shall first determine the portion of the original Incentive-Based Compensation that was based on the Financial Reporting Measure that was restated in the Accounting Restatement. The Administrator shall then recalculate the affected portion based on the Financial Reporting Measure as restated, and recover the Erroneously Awarded Compensation.</w:t>
      </w:r>
    </w:p>
    <w:p>
      <w:pPr>
        <w:pStyle w:val="TextBody"/>
        <w:bidi w:val="0"/>
        <w:spacing w:lineRule="auto" w:line="285" w:before="0" w:after="0"/>
        <w:ind w:left="216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(iv)</w:t>
      </w:r>
      <w:r>
        <w:rPr>
          <w:rFonts w:ascii="Times New Roman;Times;serif" w:hAnsi="Times New Roman;Times;serif"/>
          <w:sz w:val="24"/>
        </w:rPr>
        <w:t>To determine Erroneously Awarded Compensation for cash incentive awards determined for a pool of participants, the size of the aggregate pool from which individual awards were paid shall be reduced by applying the Financial Reporting Measure that was restated in the Accounting Restatement, and the individual awards shall be reduced on a pro rata basis (with recovery required from the Covered Executive Officers only).</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(v)</w:t>
      </w:r>
      <w:r>
        <w:rPr>
          <w:rFonts w:ascii="Times New Roman;Times;serif" w:hAnsi="Times New Roman;Times;serif"/>
          <w:sz w:val="24"/>
        </w:rPr>
        <w:t>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pStyle w:val="TextBody"/>
        <w:bidi w:val="0"/>
        <w:spacing w:lineRule="auto" w:line="285" w:before="0" w:after="0"/>
        <w:ind w:left="720" w:right="0" w:hanging="0"/>
        <w:jc w:val="left"/>
        <w:rPr>
          <w:spacing w:val="-1"/>
        </w:rPr>
      </w:pPr>
      <w:r>
        <w:rPr>
          <w:spacing w:val="-1"/>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(b)</w:t>
      </w:r>
      <w:r>
        <w:rPr>
          <w:rFonts w:ascii="Times New Roman;Times;serif" w:hAnsi="Times New Roman;Times;serif"/>
          <w:spacing w:val="-1"/>
          <w:sz w:val="24"/>
        </w:rPr>
        <w:t xml:space="preserve">The Administrator shall have broad discretion to determine the appropriate timing and means of recovery of Erroneously Awarded Compensation based on the particular facts and circumstances, subject to applicable law, including but not limited to </w:t>
      </w:r>
      <w:r>
        <w:rPr>
          <w:rFonts w:ascii="Times New Roman;Times;serif" w:hAnsi="Times New Roman;Times;serif"/>
          <w:sz w:val="24"/>
        </w:rPr>
        <w:t xml:space="preserve">(i) requiring reimbursement of all or part of any paid cash award, (ii) seeking recovery or forfeiture of any gain realized on the vesting, exercise, settlement, sale, transfer or other disposition of any equity-based awards, (iii) cancelling or reducing any outstanding cash or equity-based awards, whether vested or unvested, (iv) cancelling or offsetting against any planned future cash or equity-based awards, (v) forfeiture of deferred compensation, (vi) offsetting any compensation amount otherwise payable by the Company (or the Group Companies) to the Covered Executive Officer in the future,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Calibri;Helvetica;sans-serif" w:hAnsi="Calibri;Helvetica;sans-serif"/>
          <w:b/>
          <w:sz w:val="22"/>
        </w:rPr>
      </w:pPr>
      <w:r>
        <w:rPr>
          <w:rFonts w:ascii="Calibri;Helvetica;sans-serif" w:hAnsi="Calibri;Helvetica;sans-serif"/>
          <w:b/>
          <w:sz w:val="22"/>
        </w:rPr>
        <w:t>Exhibit 97.1</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4"/>
        </w:rPr>
        <w:t>and (vii) any other method authorized by applicable law or contract as determined by the Administrator. Any method elected by the Administrator shall comply with Section 409A or as required by applicable law.  </w:t>
      </w:r>
      <w:r>
        <w:rPr>
          <w:rFonts w:ascii="Times New Roman;Times;serif" w:hAnsi="Times New Roman;Times;serif"/>
          <w:spacing w:val="-1"/>
          <w:sz w:val="24"/>
        </w:rPr>
        <w:t>For the avoidance of doubt, except as set forth in Section 4(d) hereof, in no event may the Company accept an amount that is less than the amount of Erroneously Awarded Compensation in satisfaction of a Covered Executive Officer’s obligations hereunder.</w:t>
      </w:r>
    </w:p>
    <w:p>
      <w:pPr>
        <w:pStyle w:val="TextBody"/>
        <w:bidi w:val="0"/>
        <w:spacing w:lineRule="auto" w:line="285" w:before="0" w:after="0"/>
        <w:ind w:left="144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(c)</w:t>
      </w:r>
      <w:r>
        <w:rPr>
          <w:rFonts w:ascii="Times New Roman;Times;serif" w:hAnsi="Times New Roman;Times;serif"/>
          <w:sz w:val="24"/>
        </w:rPr>
        <w:t>To the extent that a Covered Executive Officer fails to repay all Erroneously Awarded Compensation to the Company when due (as determined in accordance with Section 4(b) hereof), the Company shall take all reasonable and appropriate actions to recover such Erroneously Awarded Compensation from the applicable Covered Executive Officer. The applicable Covered Executive Officer shall be required to reimburse the Company for any and all expenses reasonably incurred (including legal fees) by the Company in recovering such Erroneously Awarded Compensation in accordance with the immediately preceding sentence.</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(d)</w:t>
      </w:r>
      <w:r>
        <w:rPr>
          <w:rFonts w:ascii="Times New Roman;Times;serif" w:hAnsi="Times New Roman;Times;serif"/>
          <w:sz w:val="24"/>
        </w:rPr>
        <w:t>Notwithstanding anything herein to the contrary, the Company shall not be required to recover Erroneously Awarded Compensation, including taking the actions contemplated by this Section 4, if the Compensation Committee (or, if the Compensation Committee is not composed solely of independent directors under the Listing Standards, a majority of independent directors serving on the Board) determines that recovery would be impracticable solely for one of the following limited reasons and subject to the procedural and disclosure requirements below and in the applicable rules:</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2"/>
        </w:rPr>
        <w:t>(i)</w:t>
      </w:r>
      <w:r>
        <w:rPr>
          <w:rFonts w:ascii="Times New Roman;Times;serif" w:hAnsi="Times New Roman;Times;serif"/>
          <w:sz w:val="24"/>
        </w:rPr>
        <w:t>The direct expenses paid to a third party to assist in enforcing this Policy  against a Covered Executive Officer would exceed the amount of Erroneously Awarded Compensation, after the Company has made a reasonable attempt to recover the applicable Erroneously Awarded Compensation, documented such attempt and provided such documentation to Nasdaq; or</w:t>
      </w:r>
    </w:p>
    <w:p>
      <w:pPr>
        <w:pStyle w:val="TextBody"/>
        <w:bidi w:val="0"/>
        <w:spacing w:lineRule="auto" w:line="285" w:before="0" w:after="0"/>
        <w:ind w:left="216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(ii)</w:t>
      </w:r>
      <w:r>
        <w:rPr>
          <w:rFonts w:ascii="Times New Roman;Times;serif" w:hAnsi="Times New Roman;Times;serif"/>
          <w:sz w:val="24"/>
        </w:rPr>
        <w:t>Recovery would likely cause a tax-qualified retirement plan, under which benefits are broadly available to employees of the Company (or the Group Companies),to fail to meet the requirements of Section 401(a)(13) or Section 411(a) of the Code.</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5.</w:t>
      </w:r>
      <w:r>
        <w:rPr>
          <w:rFonts w:ascii="Times New Roman;Times;serif" w:hAnsi="Times New Roman;Times;serif"/>
          <w:b/>
          <w:smallCaps/>
          <w:sz w:val="24"/>
        </w:rPr>
        <w:t>Reporting and Disclosure</w:t>
      </w:r>
      <w:r>
        <w:rPr>
          <w:rFonts w:ascii="Times New Roman;Times;serif" w:hAnsi="Times New Roman;Times;serif"/>
          <w:b/>
          <w:sz w:val="24"/>
        </w:rPr>
        <w:t xml:space="preserve">. </w:t>
      </w:r>
      <w:r>
        <w:rPr>
          <w:rFonts w:ascii="Times New Roman;Times;serif" w:hAnsi="Times New Roman;Times;serif"/>
          <w:sz w:val="24"/>
        </w:rPr>
        <w:t>The Company shall file all disclosures with respect to this Policy in accordance with federal securities laws, including the disclosure required in any applicable SEC filings.</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6.</w:t>
      </w:r>
      <w:r>
        <w:rPr>
          <w:rFonts w:ascii="Times New Roman;Times;serif" w:hAnsi="Times New Roman;Times;serif"/>
          <w:b/>
          <w:smallCaps/>
          <w:spacing w:val="-3"/>
          <w:sz w:val="24"/>
        </w:rPr>
        <w:t>Indemnification and Insurance Prohibition.</w:t>
      </w:r>
      <w:r>
        <w:rPr>
          <w:rFonts w:ascii="Times New Roman;Times;serif" w:hAnsi="Times New Roman;Times;serif"/>
          <w:spacing w:val="-3"/>
          <w:sz w:val="22"/>
        </w:rPr>
        <w:t xml:space="preserve"> </w:t>
      </w:r>
      <w:r>
        <w:rPr>
          <w:rFonts w:ascii="Times New Roman;Times;serif" w:hAnsi="Times New Roman;Times;serif"/>
          <w:spacing w:val="-3"/>
          <w:sz w:val="24"/>
        </w:rPr>
        <w:t xml:space="preserve">The Company </w:t>
      </w:r>
      <w:r>
        <w:rPr>
          <w:rFonts w:ascii="Times New Roman;Times;serif" w:hAnsi="Times New Roman;Times;serif"/>
          <w:sz w:val="24"/>
        </w:rPr>
        <w:t>(or the Group Companies)</w:t>
      </w:r>
      <w:r>
        <w:rPr>
          <w:rFonts w:ascii="Times New Roman;Times;serif" w:hAnsi="Times New Roman;Times;serif"/>
          <w:spacing w:val="-3"/>
          <w:sz w:val="22"/>
        </w:rPr>
        <w:t xml:space="preserve"> </w:t>
      </w:r>
      <w:r>
        <w:rPr>
          <w:rFonts w:ascii="Times New Roman;Times;serif" w:hAnsi="Times New Roman;Times;serif"/>
          <w:spacing w:val="-3"/>
          <w:sz w:val="24"/>
        </w:rPr>
        <w:t xml:space="preserve">shall not insure (or reimburse for the purchase of insurance) or indemnify any Covered Executive Officer against (i) the loss of any Erroneously Awarded Compensation that is repaid, returned, recovered, cancelled or forfeited pursuant to the terms of this Policy, or (ii) any claims relating to the Company’s enforcement of its rights under this Policy.  Further, the Company </w:t>
      </w:r>
      <w:r>
        <w:rPr>
          <w:rFonts w:ascii="Times New Roman;Times;serif" w:hAnsi="Times New Roman;Times;serif"/>
          <w:sz w:val="24"/>
        </w:rPr>
        <w:t>(or the Group Companies)</w:t>
      </w:r>
      <w:r>
        <w:rPr>
          <w:rFonts w:ascii="Times New Roman;Times;serif" w:hAnsi="Times New Roman;Times;serif"/>
          <w:spacing w:val="-3"/>
          <w:sz w:val="22"/>
        </w:rPr>
        <w:t xml:space="preserve"> </w:t>
      </w:r>
      <w:r>
        <w:rPr>
          <w:rFonts w:ascii="Times New Roman;Times;serif" w:hAnsi="Times New Roman;Times;serif"/>
          <w:spacing w:val="-3"/>
          <w:sz w:val="24"/>
        </w:rPr>
        <w:t>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w:t>
      </w:r>
      <w:r>
        <w:rPr>
          <w:rFonts w:ascii="Times New Roman;Times;serif" w:hAnsi="Times New Roman;Times;serif"/>
          <w:sz w:val="22"/>
        </w:rPr>
        <w:t xml:space="preserve"> </w:t>
      </w:r>
    </w:p>
    <w:p>
      <w:pPr>
        <w:pStyle w:val="TextBody"/>
        <w:bidi w:val="0"/>
        <w:spacing w:lineRule="auto" w:line="285" w:before="0" w:after="0"/>
        <w:ind w:left="720" w:right="0" w:hanging="0"/>
        <w:jc w:val="both"/>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Calibri;Helvetica;sans-serif" w:hAnsi="Calibri;Helvetica;sans-serif"/>
          <w:b/>
          <w:sz w:val="22"/>
        </w:rPr>
      </w:pPr>
      <w:r>
        <w:rPr>
          <w:rFonts w:ascii="Calibri;Helvetica;sans-serif" w:hAnsi="Calibri;Helvetica;sans-serif"/>
          <w:b/>
          <w:sz w:val="22"/>
        </w:rPr>
        <w:t>Exhibit 97.1</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7.</w:t>
      </w:r>
      <w:r>
        <w:rPr>
          <w:rFonts w:ascii="Times New Roman;Times;serif" w:hAnsi="Times New Roman;Times;serif"/>
          <w:b/>
          <w:smallCaps/>
          <w:spacing w:val="1"/>
          <w:sz w:val="24"/>
        </w:rPr>
        <w:t>Effective Date.</w:t>
      </w:r>
      <w:r>
        <w:rPr>
          <w:rFonts w:ascii="Times New Roman;Times;serif" w:hAnsi="Times New Roman;Times;serif"/>
          <w:spacing w:val="1"/>
          <w:sz w:val="22"/>
        </w:rPr>
        <w:t xml:space="preserve"> </w:t>
      </w:r>
      <w:r>
        <w:rPr>
          <w:rFonts w:ascii="Times New Roman;Times;serif" w:hAnsi="Times New Roman;Times;serif"/>
          <w:spacing w:val="1"/>
          <w:sz w:val="24"/>
        </w:rPr>
        <w:t xml:space="preserve">This Policy shall be effective as of the Effective Date. </w:t>
      </w:r>
      <w:r>
        <w:rPr>
          <w:rFonts w:ascii="Times New Roman;Times;serif" w:hAnsi="Times New Roman;Times;serif"/>
          <w:sz w:val="24"/>
        </w:rPr>
        <w:t>Subject to applicable law, the Administrator may affect recovery under this Policy from any amount of compensation approved, awarded, granted, payable or paid to the Covered Executive prior to, on or after the Effective Date.</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8.</w:t>
      </w:r>
      <w:r>
        <w:rPr>
          <w:rFonts w:ascii="Times New Roman;Times;serif" w:hAnsi="Times New Roman;Times;serif"/>
          <w:b/>
          <w:smallCaps/>
          <w:sz w:val="24"/>
        </w:rPr>
        <w:t>Amendment; Termination.</w:t>
      </w:r>
      <w:r>
        <w:rPr>
          <w:rFonts w:ascii="Times New Roman;Times;serif" w:hAnsi="Times New Roman;Times;serif"/>
          <w:sz w:val="22"/>
        </w:rPr>
        <w:t xml:space="preserve"> </w:t>
      </w:r>
      <w:r>
        <w:rPr>
          <w:rFonts w:ascii="Times New Roman;Times;serif" w:hAnsi="Times New Roman;Times;serif"/>
          <w:sz w:val="24"/>
        </w:rPr>
        <w:t>The Board or Administrator may amend this Policy from time to time in its discretion and shall amend this Policy as it deems necessary, including as and when it determines that it is legally required by any federal securities laws or Nasdaq rules or to comply with (or maintain an exemption from the application of) Section 409A. The Board or Administrator may terminate this Policy at any time. Notwithstanding anything in this Section 8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pStyle w:val="TextBody"/>
        <w:bidi w:val="0"/>
        <w:spacing w:lineRule="auto" w:line="285" w:before="0" w:after="0"/>
        <w:ind w:left="720" w:right="0" w:hanging="0"/>
        <w:jc w:val="left"/>
        <w:rPr>
          <w:spacing w:val="-1"/>
        </w:rPr>
      </w:pPr>
      <w:r>
        <w:rPr>
          <w:spacing w:val="-1"/>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9.</w:t>
      </w:r>
      <w:r>
        <w:rPr>
          <w:rFonts w:ascii="Times New Roman;Times;serif" w:hAnsi="Times New Roman;Times;serif"/>
          <w:b/>
          <w:smallCaps/>
          <w:spacing w:val="-1"/>
          <w:sz w:val="24"/>
        </w:rPr>
        <w:t>Other Recoupment Rights; No Additional Payments.</w:t>
      </w:r>
      <w:r>
        <w:rPr>
          <w:rFonts w:ascii="Times New Roman;Times;serif" w:hAnsi="Times New Roman;Times;serif"/>
          <w:spacing w:val="-1"/>
          <w:sz w:val="22"/>
        </w:rPr>
        <w:t xml:space="preserve"> </w:t>
      </w:r>
      <w:r>
        <w:rPr>
          <w:rFonts w:ascii="Times New Roman;Times;serif" w:hAnsi="Times New Roman;Times;serif"/>
          <w:sz w:val="24"/>
        </w:rPr>
        <w:t>Any employment agreement, cash or equity-based award agreement, compensatory plan or any other agreement or arrangement with a Covered Executive Officer shall be deemed to include, as a condition to the grant of any benefit thereunder, an agreement by the Covered Executive Officer to abide by the terms of this Policy. Any right of recoupment under this Policy is in addition to, and not in lieu of, any other remedies or rights of recoupment that may be available to the Company (or the Group Companies), including under applicable law, regulation or rule or pursuant to the terms of any employment or severance agreement, cash or equity-based award agreement, plan or policy, or similar agreement, plan or policy with the Company (or the Group Companies).  To the extent that the Covered Executive Officer has already reimbursed the Company (or the Group Companies) for any Erroneously Awarded Compensation Received under any duplicative recovery obligations established by the Company (or the Group Companies) and subject to applicable law, such reimbursed amount shall be credited to the amount of Erroneously Awarded Compensation that is subject to recovery under this Policy.</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b/>
          <w:sz w:val="24"/>
        </w:rPr>
        <w:t>10.</w:t>
      </w:r>
      <w:r>
        <w:rPr>
          <w:rFonts w:ascii="Times New Roman;Times;serif" w:hAnsi="Times New Roman;Times;serif"/>
          <w:b/>
          <w:smallCaps/>
          <w:sz w:val="24"/>
        </w:rPr>
        <w:t>Severability.</w:t>
      </w:r>
      <w:r>
        <w:rPr>
          <w:rFonts w:ascii="Times New Roman;Times;serif" w:hAnsi="Times New Roman;Times;serif"/>
          <w:sz w:val="22"/>
        </w:rPr>
        <w:t xml:space="preserve"> </w:t>
      </w:r>
      <w:r>
        <w:rPr>
          <w:rFonts w:ascii="Times New Roman;Times;serif" w:hAnsi="Times New Roman;Times;serif"/>
          <w:sz w:val="24"/>
        </w:rPr>
        <w:t>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pStyle w:val="TextBody"/>
        <w:bidi w:val="0"/>
        <w:spacing w:lineRule="auto" w:line="307" w:before="0" w:after="160"/>
        <w:ind w:left="792" w:right="0" w:hanging="0"/>
        <w:jc w:val="both"/>
        <w:rPr/>
      </w:pPr>
      <w:r>
        <w:rPr/>
        <w:t>​</w:t>
      </w:r>
    </w:p>
    <w:p>
      <w:pPr>
        <w:pStyle w:val="TextBody"/>
        <w:bidi w:val="0"/>
        <w:spacing w:lineRule="auto" w:line="285"/>
        <w:ind w:left="72" w:right="0" w:hanging="0"/>
        <w:jc w:val="both"/>
        <w:rPr>
          <w:rFonts w:ascii="Calibri;Helvetica;sans-serif" w:hAnsi="Calibri;Helvetica;sans-serif"/>
          <w:sz w:val="22"/>
        </w:rPr>
      </w:pPr>
      <w:r>
        <w:rPr>
          <w:rFonts w:ascii="Calibri;Helvetica;sans-serif" w:hAnsi="Calibri;Helvetica;sans-serif"/>
          <w:b/>
          <w:sz w:val="24"/>
        </w:rPr>
        <w:t>11.</w:t>
      </w:r>
      <w:r>
        <w:rPr>
          <w:rFonts w:ascii="Calibri;Helvetica;sans-serif" w:hAnsi="Calibri;Helvetica;sans-serif"/>
          <w:b/>
          <w:smallCaps/>
          <w:sz w:val="24"/>
        </w:rPr>
        <w:t>Successors.</w:t>
      </w:r>
      <w:r>
        <w:rPr>
          <w:rFonts w:ascii="Calibri;Helvetica;sans-serif" w:hAnsi="Calibri;Helvetica;sans-serif"/>
          <w:sz w:val="22"/>
        </w:rPr>
        <w:t xml:space="preserve"> </w:t>
      </w:r>
      <w:r>
        <w:rPr>
          <w:rFonts w:ascii="Calibri;Helvetica;sans-serif" w:hAnsi="Calibri;Helvetica;sans-serif"/>
          <w:sz w:val="24"/>
        </w:rPr>
        <w:t>This Policy shall be binding and enforceable against all Covered Executive Officers and their beneficiaries, heirs, executors, administrators or other legal representatives.</w:t>
      </w:r>
    </w:p>
    <w:p>
      <w:pPr>
        <w:pStyle w:val="TextBody"/>
        <w:bidi w:val="0"/>
        <w:spacing w:lineRule="auto" w:line="307" w:before="0" w:after="160"/>
        <w:ind w:left="72" w:right="0" w:hanging="0"/>
        <w:jc w:val="both"/>
        <w:rPr/>
      </w:pPr>
      <w:r>
        <w:rPr/>
        <w:t>​</w:t>
      </w:r>
    </w:p>
    <w:p>
      <w:pPr>
        <w:pStyle w:val="TextBody"/>
        <w:bidi w:val="0"/>
        <w:spacing w:lineRule="auto" w:line="307" w:before="0" w:after="160"/>
        <w:ind w:left="3888" w:right="0" w:hanging="0"/>
        <w:jc w:val="left"/>
        <w:rPr>
          <w:rFonts w:ascii="Calibri;Helvetica;sans-serif" w:hAnsi="Calibri;Helvetica;sans-serif"/>
          <w:spacing w:val="-10"/>
          <w:sz w:val="24"/>
        </w:rPr>
      </w:pPr>
      <w:r>
        <w:rPr>
          <w:rFonts w:ascii="Calibri;Helvetica;sans-serif" w:hAnsi="Calibri;Helvetica;sans-serif"/>
          <w:spacing w:val="-10"/>
          <w:sz w:val="24"/>
        </w:rPr>
        <w:t>***</w:t>
      </w:r>
    </w:p>
    <w:p>
      <w:pPr>
        <w:pStyle w:val="TextBody"/>
        <w:bidi w:val="0"/>
        <w:spacing w:lineRule="auto" w:line="307" w:before="0" w:after="160"/>
        <w:ind w:left="0" w:right="0" w:hanging="0"/>
        <w:jc w:val="left"/>
        <w:rPr>
          <w:spacing w:val="-10"/>
        </w:rPr>
      </w:pPr>
      <w:r>
        <w:rPr>
          <w:spacing w:val="-10"/>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Calibri;Helvetica;sans-serif" w:hAnsi="Calibri;Helvetica;sans-serif"/>
          <w:b/>
          <w:sz w:val="22"/>
        </w:rPr>
      </w:pPr>
      <w:r>
        <w:rPr>
          <w:rFonts w:ascii="Calibri;Helvetica;sans-serif" w:hAnsi="Calibri;Helvetica;sans-serif"/>
          <w:b/>
          <w:sz w:val="22"/>
        </w:rPr>
        <w:t>Exhibit 97.1</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center"/>
        <w:rPr>
          <w:rFonts w:ascii="Calibri;Helvetica;sans-serif" w:hAnsi="Calibri;Helvetica;sans-serif"/>
          <w:b/>
          <w:smallCaps/>
          <w:sz w:val="24"/>
        </w:rPr>
      </w:pPr>
      <w:r>
        <w:rPr>
          <w:rFonts w:ascii="Calibri;Helvetica;sans-serif" w:hAnsi="Calibri;Helvetica;sans-serif"/>
          <w:b/>
          <w:smallCaps/>
          <w:sz w:val="24"/>
        </w:rPr>
        <w:t>Exhibit A</w:t>
      </w:r>
    </w:p>
    <w:p>
      <w:pPr>
        <w:pStyle w:val="TextBody"/>
        <w:pBdr/>
        <w:bidi w:val="0"/>
        <w:spacing w:lineRule="auto" w:line="307" w:before="0" w:after="0"/>
        <w:ind w:left="0" w:right="0" w:hanging="0"/>
        <w:jc w:val="center"/>
        <w:rPr/>
      </w:pPr>
      <w:r>
        <w:rPr/>
        <w:drawing>
          <wp:inline distT="0" distB="0" distL="0" distR="0">
            <wp:extent cx="1447800" cy="647700"/>
            <wp:effectExtent l="0" t="0" r="0" b="0"/>
            <wp:docPr id="34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6" descr=""/>
                    <pic:cNvPicPr>
                      <a:picLocks noChangeAspect="1" noChangeArrowheads="1"/>
                    </pic:cNvPicPr>
                  </pic:nvPicPr>
                  <pic:blipFill>
                    <a:blip r:embed="rId53"/>
                    <a:stretch>
                      <a:fillRect/>
                    </a:stretch>
                  </pic:blipFill>
                  <pic:spPr bwMode="auto">
                    <a:xfrm>
                      <a:off x="0" y="0"/>
                      <a:ext cx="1447800" cy="647700"/>
                    </a:xfrm>
                    <a:prstGeom prst="rect">
                      <a:avLst/>
                    </a:prstGeom>
                  </pic:spPr>
                </pic:pic>
              </a:graphicData>
            </a:graphic>
          </wp:inline>
        </w:drawing>
      </w:r>
    </w:p>
    <w:p>
      <w:pPr>
        <w:pStyle w:val="TextBody"/>
        <w:shd w:fill="FFFFFF" w:val="clear"/>
        <w:bidi w:val="0"/>
        <w:spacing w:lineRule="auto" w:line="307" w:before="0" w:after="160"/>
        <w:ind w:left="0" w:right="0" w:hanging="0"/>
        <w:jc w:val="center"/>
        <w:rPr>
          <w:rFonts w:ascii="Calibri;Helvetica;sans-serif" w:hAnsi="Calibri;Helvetica;sans-serif"/>
          <w:b/>
          <w:smallCaps/>
          <w:sz w:val="24"/>
        </w:rPr>
      </w:pPr>
      <w:r>
        <w:rPr>
          <w:rFonts w:ascii="Calibri;Helvetica;sans-serif" w:hAnsi="Calibri;Helvetica;sans-serif"/>
          <w:b/>
          <w:smallCaps/>
          <w:sz w:val="24"/>
        </w:rPr>
        <w:t xml:space="preserve">Helius Medical Technologies, Inc. </w:t>
      </w:r>
    </w:p>
    <w:p>
      <w:pPr>
        <w:pStyle w:val="TextBody"/>
        <w:bidi w:val="0"/>
        <w:spacing w:lineRule="auto" w:line="307" w:before="0" w:after="160"/>
        <w:ind w:left="0" w:right="0" w:hanging="0"/>
        <w:jc w:val="center"/>
        <w:rPr>
          <w:rFonts w:ascii="Calibri;Helvetica;sans-serif" w:hAnsi="Calibri;Helvetica;sans-serif"/>
          <w:b/>
          <w:smallCaps/>
          <w:sz w:val="24"/>
        </w:rPr>
      </w:pPr>
      <w:r>
        <w:rPr>
          <w:rFonts w:ascii="Calibri;Helvetica;sans-serif" w:hAnsi="Calibri;Helvetica;sans-serif"/>
          <w:b/>
          <w:smallCaps/>
          <w:sz w:val="24"/>
        </w:rPr>
        <w:t>Policy for the Recovery of Erroneously Award Compensation</w:t>
      </w:r>
    </w:p>
    <w:p>
      <w:pPr>
        <w:pStyle w:val="TextBody"/>
        <w:bidi w:val="0"/>
        <w:spacing w:lineRule="auto" w:line="307" w:before="0" w:after="160"/>
        <w:ind w:left="0" w:right="0" w:hanging="0"/>
        <w:jc w:val="center"/>
        <w:rPr>
          <w:rFonts w:ascii="Calibri;Helvetica;sans-serif" w:hAnsi="Calibri;Helvetica;sans-serif"/>
          <w:b/>
          <w:smallCaps/>
          <w:sz w:val="24"/>
        </w:rPr>
      </w:pPr>
      <w:r>
        <w:rPr>
          <w:rFonts w:ascii="Calibri;Helvetica;sans-serif" w:hAnsi="Calibri;Helvetica;sans-serif"/>
          <w:b/>
          <w:smallCaps/>
          <w:sz w:val="24"/>
        </w:rPr>
        <w:t>Covered Executive Officer Acknowledgement Form</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firstLine="720"/>
        <w:jc w:val="both"/>
        <w:rPr>
          <w:rFonts w:ascii="Calibri;Helvetica;sans-serif" w:hAnsi="Calibri;Helvetica;sans-serif"/>
          <w:sz w:val="22"/>
        </w:rPr>
      </w:pPr>
      <w:r>
        <w:rPr>
          <w:rFonts w:ascii="Calibri;Helvetica;sans-serif" w:hAnsi="Calibri;Helvetica;sans-serif"/>
          <w:spacing w:val="-1"/>
          <w:sz w:val="24"/>
        </w:rPr>
        <w:t xml:space="preserve">By signing below, the undersigned acknowledges and confirms that the undersigned has received and reviewed a copy of the Helius Medical Technologies, Inc. Policy for the Recovery of Erroneously Awarded </w:t>
      </w:r>
      <w:r>
        <w:rPr>
          <w:rFonts w:ascii="Calibri;Helvetica;sans-serif" w:hAnsi="Calibri;Helvetica;sans-serif"/>
          <w:sz w:val="24"/>
        </w:rPr>
        <w:t xml:space="preserve">Compensation (as may be amended, restated, supplemented or otherwise modified from time to time, the </w:t>
      </w:r>
      <w:r>
        <w:rPr>
          <w:rFonts w:ascii="Calibri;Helvetica;sans-serif" w:hAnsi="Calibri;Helvetica;sans-serif"/>
          <w:sz w:val="22"/>
        </w:rPr>
        <w:t>“</w:t>
      </w:r>
      <w:r>
        <w:rPr>
          <w:rFonts w:ascii="Calibri;Helvetica;sans-serif" w:hAnsi="Calibri;Helvetica;sans-serif"/>
          <w:b/>
          <w:i/>
          <w:sz w:val="24"/>
        </w:rPr>
        <w:t>Policy”</w:t>
      </w:r>
      <w:r>
        <w:rPr>
          <w:rFonts w:ascii="Calibri;Helvetica;sans-serif" w:hAnsi="Calibri;Helvetica;sans-serif"/>
          <w:sz w:val="24"/>
        </w:rPr>
        <w:t xml:space="preserve">). Capitalized terms used but not otherwise defined in this Acknowledgement Form (the </w:t>
      </w:r>
      <w:r>
        <w:rPr>
          <w:rFonts w:ascii="Calibri;Helvetica;sans-serif" w:hAnsi="Calibri;Helvetica;sans-serif"/>
          <w:sz w:val="22"/>
        </w:rPr>
        <w:t>“</w:t>
      </w:r>
      <w:r>
        <w:rPr>
          <w:rFonts w:ascii="Calibri;Helvetica;sans-serif" w:hAnsi="Calibri;Helvetica;sans-serif"/>
          <w:b/>
          <w:i/>
          <w:sz w:val="24"/>
        </w:rPr>
        <w:t>Acknowledgement Form”</w:t>
      </w:r>
      <w:r>
        <w:rPr>
          <w:rFonts w:ascii="Calibri;Helvetica;sans-serif" w:hAnsi="Calibri;Helvetica;sans-serif"/>
          <w:sz w:val="24"/>
        </w:rPr>
        <w:t>) shall have the meanings ascribed to such terms in the Policy.</w:t>
      </w:r>
    </w:p>
    <w:p>
      <w:pPr>
        <w:pStyle w:val="TextBody"/>
        <w:bidi w:val="0"/>
        <w:spacing w:lineRule="auto" w:line="307" w:before="0" w:after="160"/>
        <w:ind w:left="0" w:right="0" w:firstLine="720"/>
        <w:jc w:val="both"/>
        <w:rPr/>
      </w:pPr>
      <w:r>
        <w:rPr/>
        <w:t>​</w:t>
      </w:r>
    </w:p>
    <w:p>
      <w:pPr>
        <w:pStyle w:val="TextBody"/>
        <w:bidi w:val="0"/>
        <w:spacing w:lineRule="auto" w:line="307" w:before="0" w:after="160"/>
        <w:ind w:left="0" w:right="0" w:firstLine="720"/>
        <w:jc w:val="both"/>
        <w:rPr>
          <w:rFonts w:ascii="Calibri;Helvetica;sans-serif" w:hAnsi="Calibri;Helvetica;sans-serif"/>
          <w:sz w:val="24"/>
        </w:rPr>
      </w:pPr>
      <w:r>
        <w:rPr>
          <w:rFonts w:ascii="Calibri;Helvetica;sans-serif" w:hAnsi="Calibri;Helvetica;sans-serif"/>
          <w:sz w:val="24"/>
        </w:rPr>
        <w:t xml:space="preserve">By signing this Acknowledgement Form, the undersigned acknowledges and agrees that the undersigned is and will continue to be subject to the Policy and that the Policy will apply both during and after the undersigned’s employment with the Company (or the Group Companies).  In the event of any inconsistency between the Policy and the terms of any employment or separation agreement to which I am a party, or the terms of any compensation  or severance plan, program or agreement under which any compensation has been granted, awarded, earned or paid, the terms of the Policy shall govern. In the event it is determined by the Administrator that the Erroneously Awarded Compensation must be returned, forfeited or reimbursed to the Company, I will promptly take any action necessary to effectuate such recovery in any manner permitted by the Policy and determined by the Administrator. </w:t>
      </w:r>
    </w:p>
    <w:p>
      <w:pPr>
        <w:pStyle w:val="TextBody"/>
        <w:bidi w:val="0"/>
        <w:spacing w:lineRule="auto" w:line="307" w:before="0" w:after="160"/>
        <w:ind w:left="5040" w:right="0" w:hanging="0"/>
        <w:jc w:val="left"/>
        <w:rPr>
          <w:rFonts w:ascii="Calibri;Helvetica;sans-serif" w:hAnsi="Calibri;Helvetica;sans-serif"/>
          <w:sz w:val="24"/>
        </w:rPr>
      </w:pPr>
      <w:r>
        <w:rPr>
          <w:rFonts w:ascii="Calibri;Helvetica;sans-serif" w:hAnsi="Calibri;Helvetica;sans-serif"/>
          <w:sz w:val="24"/>
        </w:rPr>
        <w:t>_____________________________</w:t>
      </w:r>
    </w:p>
    <w:p>
      <w:pPr>
        <w:pStyle w:val="TextBody"/>
        <w:bidi w:val="0"/>
        <w:spacing w:lineRule="auto" w:line="307" w:before="0" w:after="160"/>
        <w:ind w:left="5760" w:right="0" w:hanging="0"/>
        <w:jc w:val="left"/>
        <w:rPr>
          <w:rFonts w:ascii="Calibri;Helvetica;sans-serif" w:hAnsi="Calibri;Helvetica;sans-serif"/>
          <w:sz w:val="22"/>
        </w:rPr>
      </w:pPr>
      <w:r>
        <w:rPr>
          <w:rFonts w:ascii="Calibri;Helvetica;sans-serif" w:hAnsi="Calibri;Helvetica;sans-serif"/>
          <w:sz w:val="24"/>
        </w:rPr>
        <w:t>[</w:t>
      </w:r>
      <w:r>
        <w:rPr>
          <w:rFonts w:ascii="Calibri;Helvetica;sans-serif" w:hAnsi="Calibri;Helvetica;sans-serif"/>
          <w:i/>
          <w:sz w:val="24"/>
        </w:rPr>
        <w:t>Name/Title</w:t>
      </w:r>
      <w:r>
        <w:rPr>
          <w:rFonts w:ascii="Calibri;Helvetica;sans-serif" w:hAnsi="Calibri;Helvetica;sans-serif"/>
          <w:sz w:val="24"/>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5760" w:right="0" w:hanging="0"/>
        <w:jc w:val="left"/>
        <w:rPr>
          <w:rFonts w:ascii="Calibri;Helvetica;sans-serif" w:hAnsi="Calibri;Helvetica;sans-serif"/>
          <w:sz w:val="24"/>
        </w:rPr>
      </w:pPr>
      <w:r>
        <w:rPr>
          <w:rFonts w:ascii="Calibri;Helvetica;sans-serif" w:hAnsi="Calibri;Helvetica;sans-serif"/>
          <w:sz w:val="24"/>
        </w:rPr>
        <w:t>_____________________________</w:t>
      </w:r>
    </w:p>
    <w:p>
      <w:pPr>
        <w:pStyle w:val="TextBody"/>
        <w:bidi w:val="0"/>
        <w:spacing w:lineRule="auto" w:line="307" w:before="0" w:after="160"/>
        <w:ind w:left="5760" w:right="0" w:hanging="0"/>
        <w:jc w:val="left"/>
        <w:rPr>
          <w:rFonts w:ascii="Calibri;Helvetica;sans-serif" w:hAnsi="Calibri;Helvetica;sans-serif"/>
          <w:sz w:val="22"/>
        </w:rPr>
      </w:pPr>
      <w:r>
        <w:rPr>
          <w:rFonts w:ascii="Calibri;Helvetica;sans-serif" w:hAnsi="Calibri;Helvetica;sans-serif"/>
          <w:sz w:val="24"/>
        </w:rPr>
        <w:t>[</w:t>
      </w:r>
      <w:r>
        <w:rPr>
          <w:rFonts w:ascii="Calibri;Helvetica;sans-serif" w:hAnsi="Calibri;Helvetica;sans-serif"/>
          <w:i/>
          <w:sz w:val="24"/>
        </w:rPr>
        <w:t>Date</w:t>
      </w:r>
      <w:r>
        <w:rPr>
          <w:rFonts w:ascii="Calibri;Helvetica;sans-serif" w:hAnsi="Calibri;Helvetica;sans-serif"/>
          <w:sz w:val="24"/>
        </w:rPr>
        <w:t>]</w:t>
      </w:r>
    </w:p>
    <w:p>
      <w:pPr>
        <w:pStyle w:val="TextBody"/>
        <w:bidi w:val="0"/>
        <w:spacing w:lineRule="auto" w:line="285" w:before="0" w:after="0"/>
        <w:ind w:left="0" w:right="0" w:hanging="0"/>
        <w:jc w:val="left"/>
        <w:rPr>
          <w:rFonts w:ascii="Times New Roman;Times;serif" w:hAnsi="Times New Roman;Times;serif"/>
          <w:sz w:val="18"/>
        </w:rPr>
      </w:pPr>
      <w:bookmarkStart w:id="1007" w:name="_iDocIDField_EOD"/>
      <w:bookmarkEnd w:id="1007"/>
      <w:r>
        <w:rPr>
          <w:rFonts w:ascii="Times New Roman;Times;serif" w:hAnsi="Times New Roman;Times;serif"/>
          <w:sz w:val="18"/>
        </w:rPr>
        <w:t>49444260</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 TargetMode="External"/><Relationship Id="rId7" Type="http://schemas.openxmlformats.org/officeDocument/2006/relationships/hyperlink" Target="https://www.sec.gov/Archives/edgar/data/1610853/000156459018020736/hsdt-ex31_66.htm" TargetMode="External"/><Relationship Id="rId8" Type="http://schemas.openxmlformats.org/officeDocument/2006/relationships/hyperlink" Target="https://www.sec.gov/Archives/edgar/data/1610853/000119312518312155/d646047dex31.htm" TargetMode="External"/><Relationship Id="rId9" Type="http://schemas.openxmlformats.org/officeDocument/2006/relationships/hyperlink" Target="https://www.sec.gov/Archives/edgar/data/1610853/000156459020058917/hsdt-ex31_7.htm" TargetMode="External"/><Relationship Id="rId10" Type="http://schemas.openxmlformats.org/officeDocument/2006/relationships/hyperlink" Target="https://www.sec.gov/ix?doc=/Archives/edgar/data/1610853/000155837024003414/hsdt-20240312x8k.htm" TargetMode="External"/><Relationship Id="rId11" Type="http://schemas.openxmlformats.org/officeDocument/2006/relationships/hyperlink" Target="https://www.sec.gov/Archives/edgar/data/1610853/000156459018020736/hsdt-ex33_68.htm" TargetMode="External"/><Relationship Id="rId12" Type="http://schemas.openxmlformats.org/officeDocument/2006/relationships/hyperlink" Target="https://www.sec.gov/Archives/edgar/data/1610853/000156459020047638/hsdt-ex41_7.htm" TargetMode="External"/><Relationship Id="rId13" Type="http://schemas.openxmlformats.org/officeDocument/2006/relationships/hyperlink" Target="https://www.sec.gov/Archives/edgar/data/1610853/000119312521011714/d15508dex41.htm" TargetMode="External"/><Relationship Id="rId14" Type="http://schemas.openxmlformats.org/officeDocument/2006/relationships/hyperlink" Target="https://www.sec.gov/Archives/edgar/data/1610853/000119312521011714/d15508dex42.htm" TargetMode="External"/><Relationship Id="rId15" Type="http://schemas.openxmlformats.org/officeDocument/2006/relationships/hyperlink" Target="https://www.sec.gov/Archives/edgar/data/1610853/000156459021012121/hsdt-ex47_10.htm" TargetMode="External"/><Relationship Id="rId16" Type="http://schemas.openxmlformats.org/officeDocument/2006/relationships/hyperlink" Target="https://www.sec.gov/Archives/edgar/data/1610853/000156459021003612/hsdt-ex42_9.htm" TargetMode="External"/><Relationship Id="rId17" Type="http://schemas.openxmlformats.org/officeDocument/2006/relationships/hyperlink" Target="https://www.sec.gov/Archives/edgar/data/1610853/000110465922087978/tm2222911d1_ex4-1.htm" TargetMode="External"/><Relationship Id="rId18" Type="http://schemas.openxmlformats.org/officeDocument/2006/relationships/hyperlink" Target="https://www.sec.gov/Archives/edgar/data/1610853/000110465922087978/tm2222911d1_ex4-2.htm" TargetMode="External"/><Relationship Id="rId19" Type="http://schemas.openxmlformats.org/officeDocument/2006/relationships/hyperlink" Target="https://www.sec.gov/Archives/edgar/data/1610853/000106299314005608/exhibit10-8.htm" TargetMode="External"/><Relationship Id="rId20" Type="http://schemas.openxmlformats.org/officeDocument/2006/relationships/hyperlink" Target="https://www.sec.gov/Archives/edgar/data/1610853/000118374014000218/fs1ex10-1.htm" TargetMode="External"/><Relationship Id="rId21" Type="http://schemas.openxmlformats.org/officeDocument/2006/relationships/hyperlink" Target="https://www.sec.gov/Archives/edgar/data/1610853/000118374014000218/fs1ex10-7.htm" TargetMode="External"/><Relationship Id="rId22" Type="http://schemas.openxmlformats.org/officeDocument/2006/relationships/hyperlink" Target="https://www.sec.gov/Archives/edgar/data/1610853/000118374014000218/fs1ex10-3.htm" TargetMode="External"/><Relationship Id="rId23" Type="http://schemas.openxmlformats.org/officeDocument/2006/relationships/hyperlink" Target="https://www.sec.gov/Archives/edgar/data/1610853/000118374014000218/fs1ex10-4.htm" TargetMode="External"/><Relationship Id="rId24" Type="http://schemas.openxmlformats.org/officeDocument/2006/relationships/hyperlink" Target="https://www.sec.gov/Archives/edgar/data/1610853/000106299315005471/exhibit2-1.htm" TargetMode="External"/><Relationship Id="rId25" Type="http://schemas.openxmlformats.org/officeDocument/2006/relationships/hyperlink" Target="https://www.sec.gov/Archives/edgar/data/1610853/000156459017021203/hsdt-ex101_6.htm" TargetMode="External"/><Relationship Id="rId26" Type="http://schemas.openxmlformats.org/officeDocument/2006/relationships/hyperlink" Target="https://www.sec.gov/Archives/edgar/data/1610853/000156459019007839/hsdt-ex1027_291.htm" TargetMode="External"/><Relationship Id="rId27" Type="http://schemas.openxmlformats.org/officeDocument/2006/relationships/hyperlink" Target="https://www.sec.gov/Archives/edgar/data/1610853/000156459017023191/hsdt-ex43_70.htm" TargetMode="External"/><Relationship Id="rId28" Type="http://schemas.openxmlformats.org/officeDocument/2006/relationships/hyperlink" Target="https://www.sec.gov/Archives/edgar/data/1610853/000156459017005926/hsdt-ex10231_989.htm" TargetMode="External"/><Relationship Id="rId29" Type="http://schemas.openxmlformats.org/officeDocument/2006/relationships/hyperlink" Target="https://www.sec.gov/Archives/edgar/data/1610853/000156459017005926/hsdt-ex1025_990.htm" TargetMode="External"/><Relationship Id="rId30" Type="http://schemas.openxmlformats.org/officeDocument/2006/relationships/hyperlink" Target="https://www.sec.gov/Archives/edgar/data/1610853/000156459017005926/hsdt-ex10251_1221.htm" TargetMode="External"/><Relationship Id="rId31" Type="http://schemas.openxmlformats.org/officeDocument/2006/relationships/hyperlink" Target="https://www.sec.gov/Archives/edgar/data/1610853/000119312517175405/d382247dex47.htm" TargetMode="External"/><Relationship Id="rId32" Type="http://schemas.openxmlformats.org/officeDocument/2006/relationships/hyperlink" Target="https://www.sec.gov/Archives/edgar/data/1610853/000119312517175405/d382247dex48.htm" TargetMode="External"/><Relationship Id="rId33" Type="http://schemas.openxmlformats.org/officeDocument/2006/relationships/hyperlink" Target="https://www.sec.gov/Archives/edgar/data/1610853/000119312517175405/d382247dex49.htm" TargetMode="External"/><Relationship Id="rId34" Type="http://schemas.openxmlformats.org/officeDocument/2006/relationships/hyperlink" Target="https://www.sec.gov/Archives/edgar/data/1610853/000156459018028537/hsdt-ex102_17.htm" TargetMode="External"/><Relationship Id="rId35" Type="http://schemas.openxmlformats.org/officeDocument/2006/relationships/hyperlink" Target="https://www.sec.gov/Archives/edgar/data/1610853/000156459018028537/hsdt-ex103_18.htm" TargetMode="External"/><Relationship Id="rId36" Type="http://schemas.openxmlformats.org/officeDocument/2006/relationships/hyperlink" Target="https://www.sec.gov/Archives/edgar/data/1610853/000156459018028537/hsdt-ex104_19.htm" TargetMode="External"/><Relationship Id="rId37" Type="http://schemas.openxmlformats.org/officeDocument/2006/relationships/hyperlink" Target="https://www.sec.gov/Archives/edgar/data/1610853/000156459020046019/hsdt-ex101_7.htm" TargetMode="External"/><Relationship Id="rId38" Type="http://schemas.openxmlformats.org/officeDocument/2006/relationships/hyperlink" Target="https://www.sec.gov/Archives/edgar/data/1610853/000156459021018009/hsdt-ex101_8.htm" TargetMode="External"/><Relationship Id="rId39" Type="http://schemas.openxmlformats.org/officeDocument/2006/relationships/hyperlink" Target="https://www.sec.gov/Archives/edgar/data/1610853/000156459021030425/hsdt-ex101_8.htm" TargetMode="External"/><Relationship Id="rId40" Type="http://schemas.openxmlformats.org/officeDocument/2006/relationships/hyperlink" Target="https://www.sec.gov/Archives/edgar/data/1610853/000156459021032871/hsdt-ex103_7.htm" TargetMode="External"/><Relationship Id="rId41" Type="http://schemas.openxmlformats.org/officeDocument/2006/relationships/hyperlink" Target="https://www.sec.gov/Archives/edgar/data/1610853/000156459021012121/hsdt-ex1024_291.htm" TargetMode="External"/><Relationship Id="rId42" Type="http://schemas.openxmlformats.org/officeDocument/2006/relationships/hyperlink" Target="https://www.sec.gov/Archives/edgar/data/1610853/000156459021028404/hsdt-ex107_84.htm" TargetMode="External"/><Relationship Id="rId43" Type="http://schemas.openxmlformats.org/officeDocument/2006/relationships/hyperlink" Target="https://www.sec.gov/Archives/edgar/data/1610853/000156459021032871/hsdt-ex101_9.htm" TargetMode="External"/><Relationship Id="rId44" Type="http://schemas.openxmlformats.org/officeDocument/2006/relationships/hyperlink" Target="https://www.sec.gov/Archives/edgar/data/1610853/000156459021032871/hsdt-ex102_8.htm" TargetMode="External"/><Relationship Id="rId45" Type="http://schemas.openxmlformats.org/officeDocument/2006/relationships/hyperlink" Target="https://www.sec.gov/Archives/edgar/data/1610853/000119312521209963/d164802dex46.htm" TargetMode="External"/><Relationship Id="rId46" Type="http://schemas.openxmlformats.org/officeDocument/2006/relationships/hyperlink" Target="https://www.sec.gov/Archives/edgar/data/1610853/000119312521209963/d164802dex45.htm" TargetMode="External"/><Relationship Id="rId47" Type="http://schemas.openxmlformats.org/officeDocument/2006/relationships/hyperlink" Target="https://www.sec.gov/Archives/edgar/data/1610853/000119312521263745/d169384dex101.htm" TargetMode="External"/><Relationship Id="rId48" Type="http://schemas.openxmlformats.org/officeDocument/2006/relationships/hyperlink" Target="https://www.sec.gov/Archives/edgar/data/1610853/000119312521265642/d184071dex1031.htm" TargetMode="External"/><Relationship Id="rId49" Type="http://schemas.openxmlformats.org/officeDocument/2006/relationships/hyperlink" Target="https://www.sec.gov/Archives/edgar/data/1610853/000156459022005702/hsdt-ex101_8.htm" TargetMode="External"/><Relationship Id="rId50" Type="http://schemas.openxmlformats.org/officeDocument/2006/relationships/hyperlink" Target="https://www.sec.gov/Archives/edgar/data/1610853/000156459022005702/hsdt-ex103_9.htm" TargetMode="External"/><Relationship Id="rId51" Type="http://schemas.openxmlformats.org/officeDocument/2006/relationships/hyperlink" Target="https://www.sec.gov/ix?doc=/Archives/edgar/data/0001610853/000110465923074256/tm2319490d1_8k.htm" TargetMode="External"/><Relationship Id="rId52" Type="http://schemas.openxmlformats.org/officeDocument/2006/relationships/image" Target="media/image5.jpeg"/><Relationship Id="rId53" Type="http://schemas.openxmlformats.org/officeDocument/2006/relationships/image" Target="media/image5.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67222</Words>
  <Characters>371253</Characters>
  <CharactersWithSpaces>438707</CharactersWithSpaces>
  <Paragraphs>6759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