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600"/>
        <w:ind w:left="0" w:right="0" w:hanging="0"/>
        <w:jc w:val="left"/>
        <w:rPr/>
      </w:pPr>
      <w:hyperlink w:anchor="TOC">
        <w:bookmarkStart w:id="0" w:name="hsdt-20230331x10q.htm"/>
        <w:bookmarkStart w:id="1" w:name="kshsdt20230331x10q"/>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24" w:space="1" w:color="000000"/>
        </w:pBdr>
        <w:bidi w:val="0"/>
        <w:spacing w:before="0" w:after="0"/>
        <w:ind w:left="0" w:right="0" w:hanging="0"/>
        <w:jc w:val="center"/>
        <w:rPr/>
      </w:pPr>
      <w:r>
        <w:rPr/>
        <w:t>​</w:t>
      </w:r>
    </w:p>
    <w:p>
      <w:pPr>
        <w:pStyle w:val="TextBody"/>
        <w:pBdr>
          <w:bottom w:val="single" w:sz="2" w:space="1" w:color="000000"/>
        </w:pBdr>
        <w:bidi w:val="0"/>
        <w:spacing w:before="0" w:after="0"/>
        <w:ind w:left="0" w:right="0" w:hanging="0"/>
        <w:jc w:val="center"/>
        <w:rPr/>
      </w:pPr>
      <w:r>
        <w:rPr/>
        <w:t>​</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28"/>
        </w:rPr>
      </w:pPr>
      <w:bookmarkStart w:id="2" w:name="_Hlk107881731_0"/>
      <w:bookmarkStart w:id="3" w:name="_38dbf5d9_6d2f_4f8b_8abf_5bbfcfcd88a2"/>
      <w:bookmarkEnd w:id="2"/>
      <w:bookmarkEnd w:id="3"/>
      <w:r>
        <w:rPr>
          <w:rFonts w:ascii="Times New Roman;Times;serif" w:hAnsi="Times New Roman;Times;serif"/>
          <w:b/>
          <w:sz w:val="28"/>
        </w:rPr>
        <w:t>UNITED STATES</w:t>
      </w:r>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SECURITIES AND EXCHANGE COMMISSION</w:t>
      </w:r>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Washington, D.C. 20549</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FORM 10-Q</w:t>
      </w:r>
    </w:p>
    <w:p>
      <w:pPr>
        <w:pStyle w:val="TextBody"/>
        <w:bidi w:val="0"/>
        <w:spacing w:before="0" w:after="60"/>
        <w:ind w:left="0" w:right="0" w:hanging="0"/>
        <w:jc w:val="left"/>
        <w:rPr/>
      </w:pPr>
      <w:r>
        <w:rPr/>
        <w:t>​</w:t>
      </w:r>
    </w:p>
    <w:p>
      <w:pPr>
        <w:pStyle w:val="Normal"/>
        <w:bidi w:val="0"/>
        <w:spacing w:before="0" w:after="0"/>
        <w:jc w:val="left"/>
        <w:rPr>
          <w:sz w:val="4"/>
          <w:szCs w:val="4"/>
        </w:rPr>
      </w:pPr>
      <w:r>
        <w:rPr>
          <w:sz w:val="4"/>
          <w:szCs w:val="4"/>
        </w:rPr>
      </w:r>
      <w:bookmarkStart w:id="4" w:name="Tc_3P5rsSEoE06rBYKojcUwQA_1_1"/>
      <w:bookmarkStart w:id="5" w:name="_8b1df379_f0a3_4ed4_9bbb_00d2df018081"/>
      <w:bookmarkStart w:id="6" w:name="Tc_3P5rsSEoE06rBYKojcUwQA_1_1"/>
      <w:bookmarkStart w:id="7" w:name="_8b1df379_f0a3_4ed4_9bbb_00d2df018081"/>
      <w:bookmarkEnd w:id="6"/>
      <w:bookmarkEnd w:id="7"/>
    </w:p>
    <w:tbl>
      <w:tblPr>
        <w:tblW w:w="9752" w:type="dxa"/>
        <w:jc w:val="left"/>
        <w:tblInd w:w="0" w:type="dxa"/>
        <w:tblLayout w:type="fixed"/>
        <w:tblCellMar>
          <w:top w:w="0" w:type="dxa"/>
          <w:left w:w="0" w:type="dxa"/>
          <w:bottom w:w="0" w:type="dxa"/>
          <w:right w:w="0" w:type="dxa"/>
        </w:tblCellMar>
      </w:tblPr>
      <w:tblGrid>
        <w:gridCol w:w="331"/>
        <w:gridCol w:w="9421"/>
      </w:tblGrid>
      <w:tr>
        <w:trPr/>
        <w:tc>
          <w:tcPr>
            <w:tcW w:w="331" w:type="dxa"/>
            <w:tcBorders/>
            <w:vAlign w:val="center"/>
          </w:tcPr>
          <w:p>
            <w:pPr>
              <w:pStyle w:val="TableContents"/>
              <w:bidi w:val="0"/>
              <w:spacing w:before="0" w:after="0"/>
              <w:ind w:left="0" w:right="0" w:hanging="0"/>
              <w:jc w:val="left"/>
              <w:rPr/>
            </w:pPr>
            <w:r>
              <w:rPr/>
              <w:t>​</w:t>
            </w:r>
          </w:p>
        </w:tc>
        <w:tc>
          <w:tcPr>
            <w:tcW w:w="9421" w:type="dxa"/>
            <w:tcBorders/>
            <w:vAlign w:val="center"/>
          </w:tcPr>
          <w:p>
            <w:pPr>
              <w:pStyle w:val="TableContents"/>
              <w:bidi w:val="0"/>
              <w:spacing w:before="0" w:after="0"/>
              <w:ind w:left="0" w:right="0" w:hanging="0"/>
              <w:jc w:val="left"/>
              <w:rPr/>
            </w:pPr>
            <w:r>
              <w:rPr/>
              <w:t>​</w:t>
            </w:r>
          </w:p>
        </w:tc>
      </w:tr>
      <w:tr>
        <w:trPr/>
        <w:tc>
          <w:tcPr>
            <w:tcW w:w="331" w:type="dxa"/>
            <w:tcBorders/>
            <w:vAlign w:val="center"/>
          </w:tcPr>
          <w:p>
            <w:pPr>
              <w:pStyle w:val="TableContents"/>
              <w:bidi w:val="0"/>
              <w:spacing w:before="0" w:after="0"/>
              <w:ind w:left="0" w:right="0" w:hanging="0"/>
              <w:jc w:val="left"/>
              <w:rPr/>
            </w:pPr>
            <w:r>
              <w:rPr/>
              <w:t>☒</w:t>
            </w:r>
          </w:p>
        </w:tc>
        <w:tc>
          <w:tcPr>
            <w:tcW w:w="9421"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QUARTERLY REPORT PURSUANT TO SECTION 13 OR 15(d) OF THE SECURITIES EXCHANGE ACT OF 1934</w:t>
            </w:r>
          </w:p>
        </w:tc>
      </w:tr>
    </w:tbl>
    <w:p>
      <w:pPr>
        <w:pStyle w:val="TextBody"/>
        <w:bidi w:val="0"/>
        <w:spacing w:before="0" w:after="0"/>
        <w:ind w:left="0" w:right="0" w:hanging="0"/>
        <w:jc w:val="left"/>
        <w:rPr/>
      </w:pPr>
      <w:r>
        <w:rPr/>
        <w:t>​</w:t>
      </w:r>
    </w:p>
    <w:p>
      <w:pPr>
        <w:pStyle w:val="TextBody"/>
        <w:bidi w:val="0"/>
        <w:spacing w:before="0" w:after="120"/>
        <w:ind w:left="0" w:right="0" w:hanging="0"/>
        <w:jc w:val="center"/>
        <w:rPr>
          <w:rFonts w:ascii="Times New Roman;Times;serif" w:hAnsi="Times New Roman;Times;serif"/>
          <w:b/>
          <w:sz w:val="18"/>
        </w:rPr>
      </w:pPr>
      <w:r>
        <w:rPr>
          <w:rFonts w:ascii="Times New Roman;Times;serif" w:hAnsi="Times New Roman;Times;serif"/>
          <w:b/>
          <w:sz w:val="18"/>
        </w:rPr>
        <w:t>For the quarterly period ended March 31, 2023</w:t>
      </w:r>
    </w:p>
    <w:p>
      <w:pPr>
        <w:pStyle w:val="TextBody"/>
        <w:bidi w:val="0"/>
        <w:spacing w:before="0" w:after="120"/>
        <w:ind w:left="0" w:right="0" w:hanging="0"/>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or</w:t>
      </w:r>
    </w:p>
    <w:p>
      <w:pPr>
        <w:pStyle w:val="Normal"/>
        <w:bidi w:val="0"/>
        <w:spacing w:before="0" w:after="0"/>
        <w:jc w:val="left"/>
        <w:rPr>
          <w:sz w:val="4"/>
          <w:szCs w:val="4"/>
        </w:rPr>
      </w:pPr>
      <w:r>
        <w:rPr>
          <w:sz w:val="4"/>
          <w:szCs w:val="4"/>
        </w:rPr>
      </w:r>
      <w:bookmarkStart w:id="8" w:name="Tc_EcHCk8PScE-HT4zfxXMV5w_1_1"/>
      <w:bookmarkStart w:id="9" w:name="_31d2ded6_61b8_411f_b414_bc78c6f432be"/>
      <w:bookmarkStart w:id="10" w:name="Tc_EcHCk8PScE-HT4zfxXMV5w_1_1"/>
      <w:bookmarkStart w:id="11" w:name="_31d2ded6_61b8_411f_b414_bc78c6f432be"/>
      <w:bookmarkEnd w:id="10"/>
      <w:bookmarkEnd w:id="11"/>
    </w:p>
    <w:tbl>
      <w:tblPr>
        <w:tblW w:w="9752" w:type="dxa"/>
        <w:jc w:val="left"/>
        <w:tblInd w:w="0" w:type="dxa"/>
        <w:tblLayout w:type="fixed"/>
        <w:tblCellMar>
          <w:top w:w="0" w:type="dxa"/>
          <w:left w:w="0" w:type="dxa"/>
          <w:bottom w:w="0" w:type="dxa"/>
          <w:right w:w="0" w:type="dxa"/>
        </w:tblCellMar>
      </w:tblPr>
      <w:tblGrid>
        <w:gridCol w:w="331"/>
        <w:gridCol w:w="9421"/>
      </w:tblGrid>
      <w:tr>
        <w:trPr/>
        <w:tc>
          <w:tcPr>
            <w:tcW w:w="331" w:type="dxa"/>
            <w:tcBorders/>
            <w:vAlign w:val="center"/>
          </w:tcPr>
          <w:p>
            <w:pPr>
              <w:pStyle w:val="TableContents"/>
              <w:bidi w:val="0"/>
              <w:spacing w:before="0" w:after="0"/>
              <w:ind w:left="0" w:right="0" w:hanging="0"/>
              <w:jc w:val="left"/>
              <w:rPr/>
            </w:pPr>
            <w:r>
              <w:rPr/>
              <w:t>​</w:t>
            </w:r>
          </w:p>
        </w:tc>
        <w:tc>
          <w:tcPr>
            <w:tcW w:w="9421" w:type="dxa"/>
            <w:tcBorders/>
            <w:vAlign w:val="center"/>
          </w:tcPr>
          <w:p>
            <w:pPr>
              <w:pStyle w:val="TableContents"/>
              <w:bidi w:val="0"/>
              <w:spacing w:before="0" w:after="0"/>
              <w:ind w:left="0" w:right="0" w:hanging="0"/>
              <w:jc w:val="left"/>
              <w:rPr/>
            </w:pPr>
            <w:r>
              <w:rPr/>
              <w:t>​</w:t>
            </w:r>
          </w:p>
        </w:tc>
      </w:tr>
      <w:tr>
        <w:trPr/>
        <w:tc>
          <w:tcPr>
            <w:tcW w:w="331" w:type="dxa"/>
            <w:tcBorders/>
            <w:vAlign w:val="center"/>
          </w:tcPr>
          <w:p>
            <w:pPr>
              <w:pStyle w:val="TableContents"/>
              <w:bidi w:val="0"/>
              <w:spacing w:before="0" w:after="0"/>
              <w:ind w:left="0" w:right="0" w:hanging="0"/>
              <w:jc w:val="left"/>
              <w:rPr/>
            </w:pPr>
            <w:r>
              <w:rPr/>
              <w:t>☐</w:t>
            </w:r>
          </w:p>
        </w:tc>
        <w:tc>
          <w:tcPr>
            <w:tcW w:w="9421"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TRANSITION REPORT PURSUANT TO SECTION 13 OR 15(d) OF THE SECURITIES EXCHANGE ACT OF 1934</w:t>
            </w:r>
          </w:p>
        </w:tc>
      </w:tr>
    </w:tbl>
    <w:p>
      <w:pPr>
        <w:pStyle w:val="TextBody"/>
        <w:bidi w:val="0"/>
        <w:spacing w:before="0" w:after="0"/>
        <w:ind w:left="0" w:right="0" w:hanging="0"/>
        <w:jc w:val="left"/>
        <w:rPr/>
      </w:pPr>
      <w:r>
        <w:rPr/>
        <w:t>​</w:t>
      </w:r>
    </w:p>
    <w:p>
      <w:pPr>
        <w:pStyle w:val="TextBody"/>
        <w:bidi w:val="0"/>
        <w:spacing w:before="0" w:after="120"/>
        <w:ind w:left="0" w:right="0" w:hanging="0"/>
        <w:jc w:val="center"/>
        <w:rPr>
          <w:rFonts w:ascii="Times New Roman;Times;serif" w:hAnsi="Times New Roman;Times;serif"/>
          <w:b/>
          <w:sz w:val="18"/>
        </w:rPr>
      </w:pPr>
      <w:r>
        <w:rPr>
          <w:rFonts w:ascii="Times New Roman;Times;serif" w:hAnsi="Times New Roman;Times;serif"/>
          <w:b/>
          <w:sz w:val="18"/>
        </w:rPr>
        <w:t>For the transition period from      to</w:t>
      </w:r>
    </w:p>
    <w:p>
      <w:pPr>
        <w:pStyle w:val="TextBody"/>
        <w:bidi w:val="0"/>
        <w:spacing w:before="0" w:after="120"/>
        <w:ind w:left="0" w:right="0" w:hanging="0"/>
        <w:jc w:val="center"/>
        <w:rPr>
          <w:rFonts w:ascii="Times New Roman;Times;serif" w:hAnsi="Times New Roman;Times;serif"/>
          <w:b/>
          <w:sz w:val="18"/>
        </w:rPr>
      </w:pPr>
      <w:r>
        <w:rPr>
          <w:rFonts w:ascii="Times New Roman;Times;serif" w:hAnsi="Times New Roman;Times;serif"/>
          <w:b/>
          <w:sz w:val="18"/>
        </w:rPr>
        <w:t>Commission File No. 001-38445</w:t>
      </w:r>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HELIUS MEDICAL TECHNOLOGIES, INC.</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(Exact name of Registrant as specified in its charter)</w:t>
      </w:r>
    </w:p>
    <w:p>
      <w:pPr>
        <w:pStyle w:val="Normal"/>
        <w:bidi w:val="0"/>
        <w:spacing w:before="0" w:after="0"/>
        <w:jc w:val="left"/>
        <w:rPr>
          <w:sz w:val="4"/>
          <w:szCs w:val="4"/>
        </w:rPr>
      </w:pPr>
      <w:r>
        <w:rPr>
          <w:sz w:val="4"/>
          <w:szCs w:val="4"/>
        </w:rPr>
      </w:r>
      <w:bookmarkStart w:id="12" w:name="Tc_KBRT0FB5pUeLCIChRSa-Ew_2_2"/>
      <w:bookmarkStart w:id="13" w:name="Tc_NZ4X7BeHW0imykPYlrIZEQ_2_0"/>
      <w:bookmarkStart w:id="14" w:name="_7edaf331_1936_4209_9799_46c13f470a82"/>
      <w:bookmarkStart w:id="15" w:name="Tc_KBRT0FB5pUeLCIChRSa-Ew_2_2"/>
      <w:bookmarkStart w:id="16" w:name="Tc_NZ4X7BeHW0imykPYlrIZEQ_2_0"/>
      <w:bookmarkStart w:id="17" w:name="_7edaf331_1936_4209_9799_46c13f470a82"/>
      <w:bookmarkEnd w:id="15"/>
      <w:bookmarkEnd w:id="16"/>
      <w:bookmarkEnd w:id="17"/>
    </w:p>
    <w:tbl>
      <w:tblPr>
        <w:tblW w:w="4033" w:type="dxa"/>
        <w:jc w:val="left"/>
        <w:tblInd w:w="0" w:type="dxa"/>
        <w:tblLayout w:type="fixed"/>
        <w:tblCellMar>
          <w:top w:w="0" w:type="dxa"/>
          <w:left w:w="0" w:type="dxa"/>
          <w:bottom w:w="0" w:type="dxa"/>
          <w:right w:w="0" w:type="dxa"/>
        </w:tblCellMar>
      </w:tblPr>
      <w:tblGrid>
        <w:gridCol w:w="2461"/>
        <w:gridCol w:w="326"/>
        <w:gridCol w:w="1246"/>
      </w:tblGrid>
      <w:tr>
        <w:trPr/>
        <w:tc>
          <w:tcPr>
            <w:tcW w:w="2461"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Delaware</w:t>
            </w:r>
          </w:p>
        </w:tc>
        <w:tc>
          <w:tcPr>
            <w:tcW w:w="326" w:type="dxa"/>
            <w:tcBorders/>
            <w:vAlign w:val="center"/>
          </w:tcPr>
          <w:p>
            <w:pPr>
              <w:pStyle w:val="TableContents"/>
              <w:bidi w:val="0"/>
              <w:spacing w:before="0" w:after="0"/>
              <w:ind w:left="0" w:right="0" w:hanging="0"/>
              <w:jc w:val="center"/>
              <w:rPr/>
            </w:pPr>
            <w:r>
              <w:rPr/>
              <w:t>    </w:t>
            </w:r>
          </w:p>
        </w:tc>
        <w:tc>
          <w:tcPr>
            <w:tcW w:w="1246"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36-4787690</w:t>
            </w:r>
          </w:p>
        </w:tc>
      </w:tr>
      <w:tr>
        <w:trPr/>
        <w:tc>
          <w:tcPr>
            <w:tcW w:w="2461" w:type="dxa"/>
            <w:tcBorders/>
            <w:vAlign w:val="center"/>
          </w:tcPr>
          <w:p>
            <w:pPr>
              <w:pStyle w:val="TableContents"/>
              <w:bidi w:val="0"/>
              <w:spacing w:before="0" w:after="240"/>
              <w:ind w:left="0" w:right="0" w:hanging="0"/>
              <w:jc w:val="center"/>
              <w:rPr/>
            </w:pPr>
            <w:r>
              <w:rPr/>
              <w:t>​</w:t>
            </w:r>
          </w:p>
        </w:tc>
        <w:tc>
          <w:tcPr>
            <w:tcW w:w="326" w:type="dxa"/>
            <w:tcBorders/>
            <w:vAlign w:val="center"/>
          </w:tcPr>
          <w:p>
            <w:pPr>
              <w:pStyle w:val="TableContents"/>
              <w:bidi w:val="0"/>
              <w:spacing w:before="0" w:after="240"/>
              <w:ind w:left="0" w:right="0" w:hanging="0"/>
              <w:jc w:val="center"/>
              <w:rPr/>
            </w:pPr>
            <w:r>
              <w:rPr/>
              <w:t>​</w:t>
            </w:r>
          </w:p>
        </w:tc>
        <w:tc>
          <w:tcPr>
            <w:tcW w:w="1246" w:type="dxa"/>
            <w:tcBorders/>
            <w:vAlign w:val="center"/>
          </w:tcPr>
          <w:p>
            <w:pPr>
              <w:pStyle w:val="TableContents"/>
              <w:bidi w:val="0"/>
              <w:spacing w:before="0" w:after="240"/>
              <w:ind w:left="0" w:right="0" w:hanging="0"/>
              <w:jc w:val="center"/>
              <w:rPr/>
            </w:pPr>
            <w:r>
              <w:rPr/>
              <w:t>​</w:t>
            </w:r>
          </w:p>
        </w:tc>
      </w:tr>
      <w:tr>
        <w:trPr/>
        <w:tc>
          <w:tcPr>
            <w:tcW w:w="2461" w:type="dxa"/>
            <w:tcBorders/>
            <w:vAlign w:val="center"/>
          </w:tcPr>
          <w:p>
            <w:pPr>
              <w:pStyle w:val="TableContents"/>
              <w:bidi w:val="0"/>
              <w:spacing w:before="0" w:after="160"/>
              <w:ind w:left="0" w:right="0" w:hanging="0"/>
              <w:jc w:val="center"/>
              <w:rPr>
                <w:rFonts w:ascii="Times New Roman;Times;serif" w:hAnsi="Times New Roman;Times;serif"/>
                <w:sz w:val="14"/>
              </w:rPr>
            </w:pPr>
            <w:r>
              <w:rPr>
                <w:rFonts w:ascii="Times New Roman;Times;serif" w:hAnsi="Times New Roman;Times;serif"/>
                <w:b/>
                <w:sz w:val="14"/>
              </w:rPr>
              <w:t>(State or other jurisdiction of</w:t>
            </w:r>
            <w:r>
              <w:rPr>
                <w:rFonts w:ascii="Times New Roman;Times;serif" w:hAnsi="Times New Roman;Times;serif"/>
                <w:sz w:val="14"/>
              </w:rPr>
              <w:br/>
            </w:r>
            <w:r>
              <w:rPr>
                <w:rFonts w:ascii="Times New Roman;Times;serif" w:hAnsi="Times New Roman;Times;serif"/>
                <w:b/>
                <w:sz w:val="14"/>
              </w:rPr>
              <w:t>incorporation or organization)</w:t>
            </w:r>
          </w:p>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b/>
                <w:sz w:val="14"/>
              </w:rPr>
              <w:t>642 Newtown Yardley Road, Suite 100</w:t>
            </w:r>
            <w:r>
              <w:rPr>
                <w:rFonts w:ascii="Times New Roman;Times;serif" w:hAnsi="Times New Roman;Times;serif"/>
                <w:sz w:val="14"/>
              </w:rPr>
              <w:br/>
            </w:r>
            <w:r>
              <w:rPr>
                <w:rFonts w:ascii="Times New Roman;Times;serif" w:hAnsi="Times New Roman;Times;serif"/>
                <w:b/>
                <w:sz w:val="14"/>
              </w:rPr>
              <w:t>Newtown, Pennsylvania</w:t>
            </w:r>
            <w:r>
              <w:rPr>
                <w:rFonts w:ascii="Times New Roman;Times;serif" w:hAnsi="Times New Roman;Times;serif"/>
                <w:sz w:val="14"/>
              </w:rPr>
              <w:br/>
            </w:r>
            <w:r>
              <w:rPr>
                <w:rFonts w:ascii="Times New Roman;Times;serif" w:hAnsi="Times New Roman;Times;serif"/>
                <w:b/>
                <w:sz w:val="14"/>
              </w:rPr>
              <w:t xml:space="preserve">(Address of principal executive offices) </w:t>
            </w:r>
          </w:p>
        </w:tc>
        <w:tc>
          <w:tcPr>
            <w:tcW w:w="326" w:type="dxa"/>
            <w:tcBorders/>
            <w:vAlign w:val="center"/>
          </w:tcPr>
          <w:p>
            <w:pPr>
              <w:pStyle w:val="TableContents"/>
              <w:bidi w:val="0"/>
              <w:spacing w:before="0" w:after="240"/>
              <w:ind w:left="0" w:right="0" w:hanging="0"/>
              <w:jc w:val="center"/>
              <w:rPr/>
            </w:pPr>
            <w:r>
              <w:rPr/>
              <w:t>​</w:t>
            </w:r>
          </w:p>
        </w:tc>
        <w:tc>
          <w:tcPr>
            <w:tcW w:w="1246" w:type="dxa"/>
            <w:tcBorders/>
            <w:vAlign w:val="center"/>
          </w:tcPr>
          <w:p>
            <w:pPr>
              <w:pStyle w:val="TableContents"/>
              <w:bidi w:val="0"/>
              <w:spacing w:before="0" w:after="160"/>
              <w:ind w:left="0" w:right="0" w:hanging="0"/>
              <w:jc w:val="center"/>
              <w:rPr>
                <w:rFonts w:ascii="Times New Roman;Times;serif" w:hAnsi="Times New Roman;Times;serif"/>
                <w:sz w:val="14"/>
              </w:rPr>
            </w:pPr>
            <w:r>
              <w:rPr>
                <w:rFonts w:ascii="Times New Roman;Times;serif" w:hAnsi="Times New Roman;Times;serif"/>
                <w:b/>
                <w:sz w:val="14"/>
              </w:rPr>
              <w:t>(I.R.S. Employer</w:t>
            </w:r>
            <w:r>
              <w:rPr>
                <w:rFonts w:ascii="Times New Roman;Times;serif" w:hAnsi="Times New Roman;Times;serif"/>
                <w:sz w:val="14"/>
              </w:rPr>
              <w:br/>
            </w:r>
            <w:r>
              <w:rPr>
                <w:rFonts w:ascii="Times New Roman;Times;serif" w:hAnsi="Times New Roman;Times;serif"/>
                <w:b/>
                <w:sz w:val="14"/>
              </w:rPr>
              <w:t>Identification No.)</w:t>
            </w:r>
          </w:p>
          <w:p>
            <w:pPr>
              <w:pStyle w:val="TableContents"/>
              <w:bidi w:val="0"/>
              <w:spacing w:before="0" w:after="160"/>
              <w:ind w:left="0" w:right="0" w:hanging="0"/>
              <w:jc w:val="center"/>
              <w:rPr>
                <w:rFonts w:ascii="Times New Roman;Times;serif" w:hAnsi="Times New Roman;Times;serif"/>
                <w:b/>
                <w:sz w:val="14"/>
              </w:rPr>
            </w:pPr>
            <w:r>
              <w:rPr>
                <w:rFonts w:ascii="Times New Roman;Times;serif" w:hAnsi="Times New Roman;Times;serif"/>
                <w:b/>
                <w:sz w:val="14"/>
              </w:rPr>
              <w:t>18940</w:t>
            </w:r>
          </w:p>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(Zip Code)</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14"/>
        </w:rPr>
        <w:t>(215)</w:t>
      </w:r>
      <w:r>
        <w:rPr>
          <w:rFonts w:ascii="Times New Roman;Times;serif" w:hAnsi="Times New Roman;Times;serif"/>
          <w:sz w:val="20"/>
        </w:rPr>
        <w:t xml:space="preserve"> </w:t>
      </w:r>
      <w:r>
        <w:rPr>
          <w:rFonts w:ascii="Times New Roman;Times;serif" w:hAnsi="Times New Roman;Times;serif"/>
          <w:b/>
          <w:sz w:val="14"/>
        </w:rPr>
        <w:t>944-6100</w:t>
      </w:r>
    </w:p>
    <w:p>
      <w:pPr>
        <w:pStyle w:val="TextBody"/>
        <w:bidi w:val="0"/>
        <w:spacing w:before="0" w:after="120"/>
        <w:ind w:left="0" w:right="0" w:hanging="0"/>
        <w:jc w:val="center"/>
        <w:rPr>
          <w:rFonts w:ascii="Times New Roman;Times;serif" w:hAnsi="Times New Roman;Times;serif"/>
          <w:b/>
          <w:sz w:val="14"/>
        </w:rPr>
      </w:pPr>
      <w:r>
        <w:rPr>
          <w:rFonts w:ascii="Times New Roman;Times;serif" w:hAnsi="Times New Roman;Times;serif"/>
          <w:b/>
          <w:sz w:val="14"/>
        </w:rPr>
        <w:t>(Registrant’s telephone number, including area code)</w:t>
      </w:r>
    </w:p>
    <w:p>
      <w:pPr>
        <w:pStyle w:val="TextBody"/>
        <w:bidi w:val="0"/>
        <w:spacing w:before="0" w:after="120"/>
        <w:ind w:left="0" w:right="0" w:hanging="0"/>
        <w:jc w:val="left"/>
        <w:rPr>
          <w:rFonts w:ascii="Times New Roman;Times;serif" w:hAnsi="Times New Roman;Times;serif"/>
          <w:sz w:val="18"/>
        </w:rPr>
      </w:pPr>
      <w:r>
        <w:rPr>
          <w:rFonts w:ascii="Times New Roman;Times;serif" w:hAnsi="Times New Roman;Times;serif"/>
          <w:sz w:val="18"/>
        </w:rPr>
        <w:t>Securities registered pursuant to Section 12(b) of the Act:</w:t>
      </w:r>
    </w:p>
    <w:p>
      <w:pPr>
        <w:pStyle w:val="Normal"/>
        <w:bidi w:val="0"/>
        <w:spacing w:before="0" w:after="0"/>
        <w:jc w:val="left"/>
        <w:rPr>
          <w:sz w:val="4"/>
          <w:szCs w:val="4"/>
        </w:rPr>
      </w:pPr>
      <w:r>
        <w:rPr>
          <w:sz w:val="4"/>
          <w:szCs w:val="4"/>
        </w:rPr>
      </w:r>
      <w:bookmarkStart w:id="18" w:name="Tc_Kv0No8ge3EWLyNOGxk1kfw_2_4"/>
      <w:bookmarkStart w:id="19" w:name="Tc_noxzGWCNAkekqc4waOPlEw_2_2"/>
      <w:bookmarkStart w:id="20" w:name="Tc_feqG9AWvPECfyAAZayuinw_2_0"/>
      <w:bookmarkStart w:id="21" w:name="_7877f930_cae4_4c13_8ffe_69656bfdece0"/>
      <w:bookmarkStart w:id="22" w:name="Tc_Kv0No8ge3EWLyNOGxk1kfw_2_4"/>
      <w:bookmarkStart w:id="23" w:name="Tc_noxzGWCNAkekqc4waOPlEw_2_2"/>
      <w:bookmarkStart w:id="24" w:name="Tc_feqG9AWvPECfyAAZayuinw_2_0"/>
      <w:bookmarkStart w:id="25" w:name="_7877f930_cae4_4c13_8ffe_69656bfdece0"/>
      <w:bookmarkEnd w:id="22"/>
      <w:bookmarkEnd w:id="23"/>
      <w:bookmarkEnd w:id="24"/>
      <w:bookmarkEnd w:id="25"/>
    </w:p>
    <w:tbl>
      <w:tblPr>
        <w:tblW w:w="9385" w:type="dxa"/>
        <w:jc w:val="left"/>
        <w:tblInd w:w="0" w:type="dxa"/>
        <w:tblLayout w:type="fixed"/>
        <w:tblCellMar>
          <w:top w:w="0" w:type="dxa"/>
          <w:left w:w="0" w:type="dxa"/>
          <w:bottom w:w="0" w:type="dxa"/>
          <w:right w:w="0" w:type="dxa"/>
        </w:tblCellMar>
      </w:tblPr>
      <w:tblGrid>
        <w:gridCol w:w="3811"/>
        <w:gridCol w:w="266"/>
        <w:gridCol w:w="1561"/>
        <w:gridCol w:w="266"/>
        <w:gridCol w:w="3481"/>
      </w:tblGrid>
      <w:tr>
        <w:trPr/>
        <w:tc>
          <w:tcPr>
            <w:tcW w:w="3811"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w:t>
            </w:r>
          </w:p>
        </w:tc>
        <w:tc>
          <w:tcPr>
            <w:tcW w:w="1561"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w:t>
            </w:r>
          </w:p>
        </w:tc>
        <w:tc>
          <w:tcPr>
            <w:tcW w:w="3481" w:type="dxa"/>
            <w:tcBorders/>
            <w:vAlign w:val="center"/>
          </w:tcPr>
          <w:p>
            <w:pPr>
              <w:pStyle w:val="TableContents"/>
              <w:bidi w:val="0"/>
              <w:spacing w:before="0" w:after="0"/>
              <w:ind w:left="0" w:right="0" w:hanging="0"/>
              <w:jc w:val="left"/>
              <w:rPr/>
            </w:pPr>
            <w:r>
              <w:rPr/>
              <w:t>​</w:t>
            </w:r>
          </w:p>
        </w:tc>
      </w:tr>
      <w:tr>
        <w:trPr/>
        <w:tc>
          <w:tcPr>
            <w:tcW w:w="3811"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w:t>
            </w:r>
          </w:p>
        </w:tc>
        <w:tc>
          <w:tcPr>
            <w:tcW w:w="1561"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w:t>
            </w:r>
          </w:p>
        </w:tc>
        <w:tc>
          <w:tcPr>
            <w:tcW w:w="3481" w:type="dxa"/>
            <w:tcBorders/>
            <w:vAlign w:val="center"/>
          </w:tcPr>
          <w:p>
            <w:pPr>
              <w:pStyle w:val="TableContents"/>
              <w:bidi w:val="0"/>
              <w:spacing w:before="0" w:after="0"/>
              <w:ind w:left="0" w:right="0" w:hanging="0"/>
              <w:jc w:val="left"/>
              <w:rPr/>
            </w:pPr>
            <w:r>
              <w:rPr/>
              <w:t>​</w:t>
            </w:r>
          </w:p>
        </w:tc>
      </w:tr>
      <w:tr>
        <w:trPr/>
        <w:tc>
          <w:tcPr>
            <w:tcW w:w="381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Title of each class</w:t>
            </w:r>
          </w:p>
        </w:tc>
        <w:tc>
          <w:tcPr>
            <w:tcW w:w="266" w:type="dxa"/>
            <w:tcBorders/>
            <w:vAlign w:val="center"/>
          </w:tcPr>
          <w:p>
            <w:pPr>
              <w:pStyle w:val="TableContents"/>
              <w:bidi w:val="0"/>
              <w:spacing w:before="0" w:after="0"/>
              <w:ind w:left="0" w:right="0" w:hanging="0"/>
              <w:jc w:val="center"/>
              <w:rPr/>
            </w:pPr>
            <w:r>
              <w:rPr/>
              <w:t>   </w:t>
            </w:r>
          </w:p>
        </w:tc>
        <w:tc>
          <w:tcPr>
            <w:tcW w:w="15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Trading Symbol(s)</w:t>
            </w:r>
          </w:p>
        </w:tc>
        <w:tc>
          <w:tcPr>
            <w:tcW w:w="266" w:type="dxa"/>
            <w:tcBorders/>
            <w:vAlign w:val="center"/>
          </w:tcPr>
          <w:p>
            <w:pPr>
              <w:pStyle w:val="TableContents"/>
              <w:bidi w:val="0"/>
              <w:spacing w:before="0" w:after="0"/>
              <w:ind w:left="0" w:right="0" w:hanging="0"/>
              <w:jc w:val="center"/>
              <w:rPr/>
            </w:pPr>
            <w:r>
              <w:rPr/>
              <w:t>   </w:t>
            </w:r>
          </w:p>
        </w:tc>
        <w:tc>
          <w:tcPr>
            <w:tcW w:w="34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Name of each exchange on which registered</w:t>
            </w:r>
          </w:p>
        </w:tc>
      </w:tr>
      <w:tr>
        <w:trPr/>
        <w:tc>
          <w:tcPr>
            <w:tcW w:w="381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Class A Common Stock, $0.001 par value per share</w:t>
            </w:r>
          </w:p>
        </w:tc>
        <w:tc>
          <w:tcPr>
            <w:tcW w:w="266" w:type="dxa"/>
            <w:tcBorders/>
            <w:vAlign w:val="center"/>
          </w:tcPr>
          <w:p>
            <w:pPr>
              <w:pStyle w:val="TableContents"/>
              <w:bidi w:val="0"/>
              <w:spacing w:before="0" w:after="0"/>
              <w:ind w:left="0" w:right="0" w:hanging="0"/>
              <w:jc w:val="center"/>
              <w:rPr/>
            </w:pPr>
            <w:r>
              <w:rPr/>
              <w:t>​</w:t>
            </w:r>
          </w:p>
        </w:tc>
        <w:tc>
          <w:tcPr>
            <w:tcW w:w="156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HSDT</w:t>
            </w:r>
          </w:p>
        </w:tc>
        <w:tc>
          <w:tcPr>
            <w:tcW w:w="266" w:type="dxa"/>
            <w:tcBorders/>
            <w:vAlign w:val="center"/>
          </w:tcPr>
          <w:p>
            <w:pPr>
              <w:pStyle w:val="TableContents"/>
              <w:bidi w:val="0"/>
              <w:spacing w:before="0" w:after="0"/>
              <w:ind w:left="0" w:right="0" w:hanging="0"/>
              <w:jc w:val="center"/>
              <w:rPr/>
            </w:pPr>
            <w:r>
              <w:rPr/>
              <w:t>​</w:t>
            </w:r>
          </w:p>
        </w:tc>
        <w:tc>
          <w:tcPr>
            <w:tcW w:w="348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The Nasdaq Stock Market LLC</w:t>
            </w:r>
          </w:p>
        </w:tc>
      </w:tr>
    </w:tbl>
    <w:p>
      <w:pPr>
        <w:pStyle w:val="TextBody"/>
        <w:bidi w:val="0"/>
        <w:spacing w:before="0" w:after="0"/>
        <w:ind w:left="0" w:right="0" w:hanging="0"/>
        <w:jc w:val="left"/>
        <w:rPr/>
      </w:pPr>
      <w:r>
        <w:rPr/>
        <w:t>​</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Times;serif" w:hAnsi="Times New Roman;Times;serif"/>
          <w:sz w:val="20"/>
        </w:rPr>
        <w:t>  ☒    </w:t>
      </w:r>
      <w:r>
        <w:rPr>
          <w:rFonts w:ascii="Times New Roman;Times;serif" w:hAnsi="Times New Roman;Times;serif"/>
          <w:sz w:val="16"/>
        </w:rPr>
        <w:t>No  </w:t>
      </w:r>
      <w:r>
        <w:rPr>
          <w:rFonts w:ascii="Times New Roman;Times;serif" w:hAnsi="Times New Roman;Times;serif"/>
          <w:sz w:val="20"/>
        </w:rPr>
        <w:t>☐</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Times;serif" w:hAnsi="Times New Roman;Times;serif"/>
          <w:sz w:val="20"/>
        </w:rPr>
        <w:t>  ☒    </w:t>
      </w:r>
      <w:r>
        <w:rPr>
          <w:rFonts w:ascii="Times New Roman;Times;serif" w:hAnsi="Times New Roman;Times;serif"/>
          <w:sz w:val="16"/>
        </w:rPr>
        <w:t>No  </w:t>
      </w:r>
      <w:r>
        <w:rPr>
          <w:rFonts w:ascii="Times New Roman;Times;serif" w:hAnsi="Times New Roman;Times;serif"/>
          <w:sz w:val="20"/>
        </w:rPr>
        <w:t>☐</w:t>
      </w:r>
    </w:p>
    <w:p>
      <w:pPr>
        <w:pStyle w:val="TextBody"/>
        <w:bidi w:val="0"/>
        <w:spacing w:before="0" w:after="120"/>
        <w:ind w:left="0" w:right="0" w:hanging="0"/>
        <w:jc w:val="both"/>
        <w:rPr>
          <w:rFonts w:ascii="Times New Roman;Times;serif" w:hAnsi="Times New Roman;Times;serif"/>
          <w:sz w:val="16"/>
        </w:rPr>
      </w:pPr>
      <w:r>
        <w:rPr>
          <w:rFonts w:ascii="Times New Roman;Times;serif" w:hAnsi="Times New Roman;Times;serif"/>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Normal"/>
        <w:bidi w:val="0"/>
        <w:spacing w:before="0" w:after="0"/>
        <w:jc w:val="left"/>
        <w:rPr>
          <w:sz w:val="4"/>
          <w:szCs w:val="4"/>
        </w:rPr>
      </w:pPr>
      <w:r>
        <w:rPr>
          <w:sz w:val="4"/>
          <w:szCs w:val="4"/>
        </w:rPr>
      </w:r>
      <w:bookmarkStart w:id="26" w:name="Tc_buKxyJvJHkOJnObMvWp_cQ_4_0"/>
      <w:bookmarkStart w:id="27" w:name="Tc_nkiyqpkFTk-PA80B5f21aQ_3_2"/>
      <w:bookmarkStart w:id="28" w:name="Tc_i3DWMNQoNEu-WJjvIEgwXA_3_1"/>
      <w:bookmarkStart w:id="29" w:name="Tc_Bvg3hIlzO0ma0S5Mvy35AQ_2_3"/>
      <w:bookmarkStart w:id="30" w:name="Tc_lO9em7p67kSOps-ZQg0GIQ_2_2"/>
      <w:bookmarkStart w:id="31" w:name="Tc_QaW7NvEUlEyF-TU_hyyuEg_2_1"/>
      <w:bookmarkStart w:id="32" w:name="Tc_IFJGL4uFRkWXtWd2R4TfdA_2_0"/>
      <w:bookmarkStart w:id="33" w:name="_7d256f44_76a3_4314_a5c5_72bde4cb671c"/>
      <w:bookmarkStart w:id="34" w:name="Tc_buKxyJvJHkOJnObMvWp_cQ_4_0"/>
      <w:bookmarkStart w:id="35" w:name="Tc_nkiyqpkFTk-PA80B5f21aQ_3_2"/>
      <w:bookmarkStart w:id="36" w:name="Tc_i3DWMNQoNEu-WJjvIEgwXA_3_1"/>
      <w:bookmarkStart w:id="37" w:name="Tc_Bvg3hIlzO0ma0S5Mvy35AQ_2_3"/>
      <w:bookmarkStart w:id="38" w:name="Tc_lO9em7p67kSOps-ZQg0GIQ_2_2"/>
      <w:bookmarkStart w:id="39" w:name="Tc_QaW7NvEUlEyF-TU_hyyuEg_2_1"/>
      <w:bookmarkStart w:id="40" w:name="Tc_IFJGL4uFRkWXtWd2R4TfdA_2_0"/>
      <w:bookmarkStart w:id="41" w:name="_7d256f44_76a3_4314_a5c5_72bde4cb671c"/>
      <w:bookmarkEnd w:id="34"/>
      <w:bookmarkEnd w:id="35"/>
      <w:bookmarkEnd w:id="36"/>
      <w:bookmarkEnd w:id="37"/>
      <w:bookmarkEnd w:id="38"/>
      <w:bookmarkEnd w:id="39"/>
      <w:bookmarkEnd w:id="40"/>
      <w:bookmarkEnd w:id="41"/>
    </w:p>
    <w:tbl>
      <w:tblPr>
        <w:tblW w:w="4759" w:type="dxa"/>
        <w:jc w:val="left"/>
        <w:tblInd w:w="0" w:type="dxa"/>
        <w:tblLayout w:type="fixed"/>
        <w:tblCellMar>
          <w:top w:w="0" w:type="dxa"/>
          <w:left w:w="0" w:type="dxa"/>
          <w:bottom w:w="0" w:type="dxa"/>
          <w:right w:w="0" w:type="dxa"/>
        </w:tblCellMar>
      </w:tblPr>
      <w:tblGrid>
        <w:gridCol w:w="2056"/>
        <w:gridCol w:w="316"/>
        <w:gridCol w:w="2026"/>
        <w:gridCol w:w="361"/>
      </w:tblGrid>
      <w:tr>
        <w:trPr/>
        <w:tc>
          <w:tcPr>
            <w:tcW w:w="2056"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c>
          <w:tcPr>
            <w:tcW w:w="202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r>
      <w:tr>
        <w:trPr/>
        <w:tc>
          <w:tcPr>
            <w:tcW w:w="2056"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c>
          <w:tcPr>
            <w:tcW w:w="202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r>
      <w:tr>
        <w:trPr/>
        <w:tc>
          <w:tcPr>
            <w:tcW w:w="205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Large accelerated filer</w:t>
            </w:r>
          </w:p>
        </w:tc>
        <w:tc>
          <w:tcPr>
            <w:tcW w:w="316" w:type="dxa"/>
            <w:tcBorders/>
            <w:vAlign w:val="center"/>
          </w:tcPr>
          <w:p>
            <w:pPr>
              <w:pStyle w:val="TableContents"/>
              <w:bidi w:val="0"/>
              <w:spacing w:before="0" w:after="0"/>
              <w:ind w:left="0" w:right="0" w:hanging="0"/>
              <w:jc w:val="left"/>
              <w:rPr/>
            </w:pPr>
            <w:r>
              <w:rPr/>
              <w:t>☐</w:t>
            </w:r>
          </w:p>
        </w:tc>
        <w:tc>
          <w:tcPr>
            <w:tcW w:w="202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Accelerated filer</w:t>
            </w:r>
          </w:p>
        </w:tc>
        <w:tc>
          <w:tcPr>
            <w:tcW w:w="361" w:type="dxa"/>
            <w:tcBorders/>
            <w:vAlign w:val="center"/>
          </w:tcPr>
          <w:p>
            <w:pPr>
              <w:pStyle w:val="TableContents"/>
              <w:bidi w:val="0"/>
              <w:spacing w:before="0" w:after="0"/>
              <w:ind w:left="0" w:right="0" w:hanging="0"/>
              <w:jc w:val="left"/>
              <w:rPr/>
            </w:pPr>
            <w:r>
              <w:rPr/>
              <w:t>☐</w:t>
            </w:r>
          </w:p>
        </w:tc>
      </w:tr>
      <w:tr>
        <w:trPr/>
        <w:tc>
          <w:tcPr>
            <w:tcW w:w="205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Non-accelerated filer</w:t>
            </w:r>
          </w:p>
        </w:tc>
        <w:tc>
          <w:tcPr>
            <w:tcW w:w="316" w:type="dxa"/>
            <w:tcBorders/>
            <w:vAlign w:val="center"/>
          </w:tcPr>
          <w:p>
            <w:pPr>
              <w:pStyle w:val="TableContents"/>
              <w:bidi w:val="0"/>
              <w:spacing w:before="0" w:after="0"/>
              <w:ind w:left="0" w:right="0" w:hanging="0"/>
              <w:jc w:val="left"/>
              <w:rPr/>
            </w:pPr>
            <w:r>
              <w:rPr/>
              <w:t>☒</w:t>
            </w:r>
          </w:p>
        </w:tc>
        <w:tc>
          <w:tcPr>
            <w:tcW w:w="202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Smaller reporting company</w:t>
            </w:r>
          </w:p>
        </w:tc>
        <w:tc>
          <w:tcPr>
            <w:tcW w:w="361" w:type="dxa"/>
            <w:tcBorders/>
            <w:vAlign w:val="center"/>
          </w:tcPr>
          <w:p>
            <w:pPr>
              <w:pStyle w:val="TableContents"/>
              <w:bidi w:val="0"/>
              <w:spacing w:before="0" w:after="0"/>
              <w:ind w:left="0" w:right="0" w:hanging="0"/>
              <w:jc w:val="left"/>
              <w:rPr/>
            </w:pPr>
            <w:r>
              <w:rPr/>
              <w:t>☒</w:t>
            </w:r>
          </w:p>
        </w:tc>
      </w:tr>
      <w:tr>
        <w:trPr/>
        <w:tc>
          <w:tcPr>
            <w:tcW w:w="205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Emerging growth company</w:t>
            </w:r>
          </w:p>
        </w:tc>
        <w:tc>
          <w:tcPr>
            <w:tcW w:w="316" w:type="dxa"/>
            <w:tcBorders/>
            <w:vAlign w:val="center"/>
          </w:tcPr>
          <w:p>
            <w:pPr>
              <w:pStyle w:val="TableContents"/>
              <w:bidi w:val="0"/>
              <w:spacing w:before="0" w:after="0"/>
              <w:ind w:left="0" w:right="0" w:hanging="0"/>
              <w:jc w:val="left"/>
              <w:rPr/>
            </w:pPr>
            <w:r>
              <w:rPr/>
              <w:t>☐</w:t>
            </w:r>
          </w:p>
        </w:tc>
        <w:tc>
          <w:tcPr>
            <w:tcW w:w="202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120"/>
        <w:ind w:left="0" w:right="0" w:hanging="0"/>
        <w:jc w:val="left"/>
        <w:rPr>
          <w:rFonts w:ascii="Times New Roman;Times;serif" w:hAnsi="Times New Roman;Times;serif"/>
          <w:sz w:val="16"/>
        </w:rPr>
      </w:pPr>
      <w:r>
        <w:rPr>
          <w:rFonts w:ascii="Times New Roman;Times;serif" w:hAnsi="Times New Roman;Times;serif"/>
          <w:sz w:val="16"/>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16"/>
        </w:rPr>
        <w:t>Indicate by check mark whether the registrant is a shell company (as defined in Rule 12b-2 of the Exchange Act).   Yes  </w:t>
      </w:r>
      <w:r>
        <w:rPr>
          <w:rFonts w:ascii="Times New Roman;Times;serif" w:hAnsi="Times New Roman;Times;serif"/>
          <w:sz w:val="20"/>
        </w:rPr>
        <w:t>☐    </w:t>
      </w:r>
      <w:r>
        <w:rPr>
          <w:rFonts w:ascii="Times New Roman;Times;serif" w:hAnsi="Times New Roman;Times;serif"/>
          <w:sz w:val="16"/>
        </w:rPr>
        <w:t>No  </w:t>
      </w:r>
      <w:r>
        <w:rPr>
          <w:rFonts w:ascii="Times New Roman;Times;serif" w:hAnsi="Times New Roman;Times;serif"/>
          <w:sz w:val="20"/>
        </w:rPr>
        <w:t>☒</w:t>
      </w:r>
    </w:p>
    <w:p>
      <w:pPr>
        <w:pStyle w:val="TextBody"/>
        <w:bidi w:val="0"/>
        <w:spacing w:before="0" w:after="0"/>
        <w:ind w:left="0" w:right="0" w:hanging="0"/>
        <w:jc w:val="both"/>
        <w:rPr>
          <w:rFonts w:ascii="Times New Roman;Times;serif" w:hAnsi="Times New Roman;Times;serif"/>
          <w:sz w:val="16"/>
        </w:rPr>
      </w:pPr>
      <w:r>
        <w:rPr>
          <w:rFonts w:ascii="Times New Roman;Times;serif" w:hAnsi="Times New Roman;Times;serif"/>
          <w:sz w:val="16"/>
        </w:rPr>
        <w:t>As of May 3, 2023, the registrant had 28,215,394 shares of Class A common stock, $0.001 par value per share, outstanding.</w:t>
      </w:r>
    </w:p>
    <w:p>
      <w:pPr>
        <w:pStyle w:val="TextBody"/>
        <w:bidi w:val="0"/>
        <w:spacing w:before="0" w:after="240"/>
        <w:ind w:left="0" w:right="0" w:hanging="0"/>
        <w:jc w:val="left"/>
        <w:rPr/>
      </w:pPr>
      <w:r>
        <w:rPr/>
        <w:t>​</w:t>
      </w:r>
    </w:p>
    <w:p>
      <w:pPr>
        <w:pStyle w:val="TextBody"/>
        <w:pBdr>
          <w:top w:val="single" w:sz="2" w:space="1" w:color="000000"/>
          <w:bottom w:val="single" w:sz="24" w:space="1" w:color="000000"/>
        </w:pBdr>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42" w:name="_3e7e7831_90ff_4c81_883b_c330c59b3b78"/>
      <w:bookmarkEnd w:id="42"/>
      <w:r>
        <w:rPr>
          <w:rFonts w:ascii="Times New Roman;Times;serif" w:hAnsi="Times New Roman;Times;serif"/>
          <w:b/>
          <w:sz w:val="20"/>
        </w:rPr>
        <w:t>HELIUS MEDICAL TECHNOLOGIES, INC.</w:t>
      </w:r>
    </w:p>
    <w:p>
      <w:pPr>
        <w:pStyle w:val="TextBody"/>
        <w:bidi w:val="0"/>
        <w:spacing w:before="0" w:after="240"/>
        <w:ind w:left="0" w:right="0" w:hanging="0"/>
        <w:jc w:val="center"/>
        <w:rPr>
          <w:rFonts w:ascii="Times New Roman;Times;serif" w:hAnsi="Times New Roman;Times;serif"/>
          <w:b/>
          <w:sz w:val="20"/>
        </w:rPr>
      </w:pPr>
      <w:bookmarkStart w:id="43" w:name="TOC"/>
      <w:bookmarkEnd w:id="43"/>
      <w:r>
        <w:rPr>
          <w:rFonts w:ascii="Times New Roman;Times;serif" w:hAnsi="Times New Roman;Times;serif"/>
          <w:b/>
          <w:sz w:val="20"/>
        </w:rPr>
        <w:t>INDEX</w:t>
      </w:r>
    </w:p>
    <w:tbl>
      <w:tblPr>
        <w:tblW w:w="10205" w:type="dxa"/>
        <w:jc w:val="left"/>
        <w:tblInd w:w="0" w:type="dxa"/>
        <w:tblLayout w:type="fixed"/>
        <w:tblCellMar>
          <w:top w:w="0" w:type="dxa"/>
          <w:left w:w="0" w:type="dxa"/>
          <w:bottom w:w="0" w:type="dxa"/>
          <w:right w:w="0" w:type="dxa"/>
        </w:tblCellMar>
      </w:tblPr>
      <w:tblGrid>
        <w:gridCol w:w="976"/>
        <w:gridCol w:w="8868"/>
        <w:gridCol w:w="361"/>
      </w:tblGrid>
      <w:tr>
        <w:trPr/>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19760" cy="175260"/>
                      <wp:effectExtent l="0" t="0" r="0" b="0"/>
                      <wp:wrapNone/>
                      <wp:docPr id="1" name="Frame1"/>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5631180" cy="175260"/>
                      <wp:effectExtent l="0" t="0" r="0" b="0"/>
                      <wp:wrapNone/>
                      <wp:docPr id="2" name="Frame2"/>
                      <a:graphic xmlns:a="http://schemas.openxmlformats.org/drawingml/2006/main">
                        <a:graphicData uri="http://schemas.microsoft.com/office/word/2010/wordprocessingShape">
                          <wps:wsp>
                            <wps:cNvSpPr txBox="1"/>
                            <wps:spPr>
                              <a:xfrm>
                                <a:off x="0" y="0"/>
                                <a:ext cx="56311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229235" cy="175260"/>
                      <wp:effectExtent l="0" t="0" r="0" b="0"/>
                      <wp:wrapNone/>
                      <wp:docPr id="3" name="Frame3"/>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976"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Part I.</w:t>
            </w:r>
          </w:p>
        </w:tc>
        <w:tc>
          <w:tcPr>
            <w:tcW w:w="8868"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Financial Information</w:t>
            </w:r>
          </w:p>
        </w:tc>
        <w:tc>
          <w:tcPr>
            <w:tcW w:w="361" w:type="dxa"/>
            <w:tcBorders/>
            <w:vAlign w:val="center"/>
          </w:tcPr>
          <w:p>
            <w:pPr>
              <w:pStyle w:val="TableContents"/>
              <w:bidi w:val="0"/>
              <w:spacing w:before="0" w:after="0"/>
              <w:ind w:left="0" w:right="0" w:hanging="0"/>
              <w:jc w:val="right"/>
              <w:rPr/>
            </w:pPr>
            <w:r>
              <w:rPr/>
              <w:t>​</w:t>
            </w:r>
          </w:p>
        </w:tc>
      </w:tr>
      <w:tr>
        <w:trPr/>
        <w:tc>
          <w:tcPr>
            <w:tcW w:w="976" w:type="dxa"/>
            <w:tcBorders/>
            <w:vAlign w:val="center"/>
          </w:tcPr>
          <w:p>
            <w:pPr>
              <w:pStyle w:val="TableContents"/>
              <w:bidi w:val="0"/>
              <w:spacing w:before="0" w:after="0"/>
              <w:ind w:left="0" w:right="0" w:hanging="0"/>
              <w:jc w:val="left"/>
              <w:rPr/>
            </w:pPr>
            <w:r>
              <w:rPr/>
              <w:t>​</w:t>
            </w:r>
          </w:p>
        </w:tc>
        <w:tc>
          <w:tcPr>
            <w:tcW w:w="8868"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pPr>
            <w:r>
              <w:rPr/>
              <w:t>​</w:t>
            </w:r>
          </w:p>
        </w:tc>
      </w:tr>
      <w:tr>
        <w:trPr/>
        <w:tc>
          <w:tcPr>
            <w:tcW w:w="97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Item 1.</w:t>
            </w:r>
          </w:p>
        </w:tc>
        <w:tc>
          <w:tcPr>
            <w:tcW w:w="886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Condensed Consolidated Financial Statements</w:t>
            </w:r>
          </w:p>
        </w:tc>
        <w:tc>
          <w:tcPr>
            <w:tcW w:w="361" w:type="dxa"/>
            <w:tcBorders/>
            <w:vAlign w:val="center"/>
          </w:tcPr>
          <w:p>
            <w:pPr>
              <w:pStyle w:val="TableContents"/>
              <w:bidi w:val="0"/>
              <w:spacing w:before="0" w:after="0"/>
              <w:ind w:left="0" w:right="0" w:hanging="0"/>
              <w:jc w:val="right"/>
              <w:rPr/>
            </w:pPr>
            <w:r>
              <w:rPr/>
              <w:t>​</w:t>
            </w:r>
          </w:p>
        </w:tc>
      </w:tr>
      <w:tr>
        <w:trPr/>
        <w:tc>
          <w:tcPr>
            <w:tcW w:w="976" w:type="dxa"/>
            <w:tcBorders/>
            <w:vAlign w:val="center"/>
          </w:tcPr>
          <w:p>
            <w:pPr>
              <w:pStyle w:val="TableContents"/>
              <w:bidi w:val="0"/>
              <w:spacing w:before="0" w:after="0"/>
              <w:ind w:left="0" w:right="0" w:hanging="0"/>
              <w:jc w:val="left"/>
              <w:rPr/>
            </w:pPr>
            <w:r>
              <w:rPr/>
              <w:t>​</w:t>
            </w:r>
          </w:p>
        </w:tc>
        <w:tc>
          <w:tcPr>
            <w:tcW w:w="8868"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pPr>
            <w:r>
              <w:rPr/>
              <w:t>​</w:t>
            </w:r>
          </w:p>
        </w:tc>
      </w:tr>
      <w:tr>
        <w:trPr/>
        <w:tc>
          <w:tcPr>
            <w:tcW w:w="976" w:type="dxa"/>
            <w:tcBorders/>
            <w:vAlign w:val="center"/>
          </w:tcPr>
          <w:p>
            <w:pPr>
              <w:pStyle w:val="TableContents"/>
              <w:bidi w:val="0"/>
              <w:spacing w:before="0" w:after="0"/>
              <w:ind w:left="0" w:right="0" w:hanging="0"/>
              <w:jc w:val="left"/>
              <w:rPr/>
            </w:pPr>
            <w:r>
              <w:rPr/>
              <w:t>​</w:t>
            </w:r>
          </w:p>
        </w:tc>
        <w:tc>
          <w:tcPr>
            <w:tcW w:w="8868" w:type="dxa"/>
            <w:tcBorders/>
            <w:vAlign w:val="center"/>
          </w:tcPr>
          <w:p>
            <w:pPr>
              <w:pStyle w:val="TableContents"/>
              <w:bidi w:val="0"/>
              <w:spacing w:before="0" w:after="0"/>
              <w:ind w:left="0" w:right="0" w:hanging="0"/>
              <w:jc w:val="left"/>
              <w:rPr/>
            </w:pPr>
            <w:hyperlink w:anchor="UnauditedCondensedConsolidatedBalance">
              <w:r>
                <w:rPr>
                  <w:rStyle w:val="InternetLink"/>
                  <w:rFonts w:ascii="Times New Roman;Times;serif" w:hAnsi="Times New Roman;Times;serif"/>
                  <w:b w:val="false"/>
                  <w:i w:val="false"/>
                  <w:caps w:val="false"/>
                  <w:smallCaps w:val="false"/>
                  <w:sz w:val="20"/>
                </w:rPr>
                <w:t>Unaudited Condensed Consolidated Balance Sheets as of March 31, 2023 and December 31, 2022</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976" w:type="dxa"/>
            <w:tcBorders/>
            <w:vAlign w:val="center"/>
          </w:tcPr>
          <w:p>
            <w:pPr>
              <w:pStyle w:val="TableContents"/>
              <w:bidi w:val="0"/>
              <w:spacing w:before="0" w:after="0"/>
              <w:ind w:left="0" w:right="0" w:hanging="0"/>
              <w:jc w:val="left"/>
              <w:rPr/>
            </w:pPr>
            <w:r>
              <w:rPr/>
              <w:t>​</w:t>
            </w:r>
          </w:p>
        </w:tc>
        <w:tc>
          <w:tcPr>
            <w:tcW w:w="8868"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pPr>
            <w:r>
              <w:rPr/>
              <w:t>​</w:t>
            </w:r>
          </w:p>
        </w:tc>
      </w:tr>
      <w:tr>
        <w:trPr/>
        <w:tc>
          <w:tcPr>
            <w:tcW w:w="976" w:type="dxa"/>
            <w:tcBorders/>
            <w:vAlign w:val="center"/>
          </w:tcPr>
          <w:p>
            <w:pPr>
              <w:pStyle w:val="TableContents"/>
              <w:bidi w:val="0"/>
              <w:spacing w:before="0" w:after="0"/>
              <w:ind w:left="0" w:right="0" w:hanging="0"/>
              <w:jc w:val="left"/>
              <w:rPr/>
            </w:pPr>
            <w:r>
              <w:rPr/>
              <w:t>​</w:t>
            </w:r>
          </w:p>
        </w:tc>
        <w:tc>
          <w:tcPr>
            <w:tcW w:w="8868" w:type="dxa"/>
            <w:tcBorders/>
            <w:vAlign w:val="center"/>
          </w:tcPr>
          <w:p>
            <w:pPr>
              <w:pStyle w:val="TableContents"/>
              <w:bidi w:val="0"/>
              <w:spacing w:before="0" w:after="0"/>
              <w:ind w:left="0" w:right="0" w:hanging="0"/>
              <w:jc w:val="left"/>
              <w:rPr/>
            </w:pPr>
            <w:hyperlink w:anchor="StatementsofOperationsandComprehensi">
              <w:r>
                <w:rPr>
                  <w:rStyle w:val="InternetLink"/>
                  <w:rFonts w:ascii="Times New Roman;Times;serif" w:hAnsi="Times New Roman;Times;serif"/>
                  <w:b w:val="false"/>
                  <w:i w:val="false"/>
                  <w:caps w:val="false"/>
                  <w:smallCaps w:val="false"/>
                  <w:sz w:val="20"/>
                </w:rPr>
                <w:t>Unaudited Condensed Consolidated Statements of Operations and Comprehensive Loss for the three months ended March 31, 2023 and 2022</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976" w:type="dxa"/>
            <w:tcBorders/>
            <w:vAlign w:val="center"/>
          </w:tcPr>
          <w:p>
            <w:pPr>
              <w:pStyle w:val="TableContents"/>
              <w:bidi w:val="0"/>
              <w:spacing w:before="0" w:after="0"/>
              <w:ind w:left="0" w:right="0" w:hanging="0"/>
              <w:jc w:val="left"/>
              <w:rPr/>
            </w:pPr>
            <w:r>
              <w:rPr/>
              <w:t>​</w:t>
            </w:r>
          </w:p>
        </w:tc>
        <w:tc>
          <w:tcPr>
            <w:tcW w:w="8868"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pPr>
            <w:r>
              <w:rPr/>
              <w:t>​</w:t>
            </w:r>
          </w:p>
        </w:tc>
      </w:tr>
      <w:tr>
        <w:trPr/>
        <w:tc>
          <w:tcPr>
            <w:tcW w:w="976" w:type="dxa"/>
            <w:tcBorders/>
            <w:vAlign w:val="center"/>
          </w:tcPr>
          <w:p>
            <w:pPr>
              <w:pStyle w:val="TableContents"/>
              <w:bidi w:val="0"/>
              <w:spacing w:before="0" w:after="0"/>
              <w:ind w:left="0" w:right="0" w:hanging="0"/>
              <w:jc w:val="left"/>
              <w:rPr/>
            </w:pPr>
            <w:r>
              <w:rPr/>
              <w:t>​</w:t>
            </w:r>
          </w:p>
        </w:tc>
        <w:tc>
          <w:tcPr>
            <w:tcW w:w="8868" w:type="dxa"/>
            <w:tcBorders/>
            <w:vAlign w:val="center"/>
          </w:tcPr>
          <w:p>
            <w:pPr>
              <w:pStyle w:val="TableContents"/>
              <w:bidi w:val="0"/>
              <w:spacing w:before="0" w:after="0"/>
              <w:ind w:left="0" w:right="0" w:hanging="0"/>
              <w:jc w:val="left"/>
              <w:rPr/>
            </w:pPr>
            <w:hyperlink w:anchor="StatementsofStockholdersEquity">
              <w:r>
                <w:rPr>
                  <w:rStyle w:val="InternetLink"/>
                  <w:rFonts w:ascii="Times New Roman;Times;serif" w:hAnsi="Times New Roman;Times;serif"/>
                  <w:b w:val="false"/>
                  <w:i w:val="false"/>
                  <w:caps w:val="false"/>
                  <w:smallCaps w:val="false"/>
                  <w:sz w:val="20"/>
                </w:rPr>
                <w:t>Unaudited Condensed Consolidated Statements of Stockholders’ Equity for the three months ended March 31, 2023 and 2022</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976" w:type="dxa"/>
            <w:tcBorders/>
            <w:vAlign w:val="center"/>
          </w:tcPr>
          <w:p>
            <w:pPr>
              <w:pStyle w:val="TableContents"/>
              <w:bidi w:val="0"/>
              <w:spacing w:before="0" w:after="0"/>
              <w:ind w:left="0" w:right="0" w:hanging="0"/>
              <w:jc w:val="left"/>
              <w:rPr/>
            </w:pPr>
            <w:r>
              <w:rPr/>
              <w:t>​</w:t>
            </w:r>
          </w:p>
        </w:tc>
        <w:tc>
          <w:tcPr>
            <w:tcW w:w="8868"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pPr>
            <w:r>
              <w:rPr/>
              <w:t>​</w:t>
            </w:r>
          </w:p>
        </w:tc>
      </w:tr>
      <w:tr>
        <w:trPr/>
        <w:tc>
          <w:tcPr>
            <w:tcW w:w="976" w:type="dxa"/>
            <w:tcBorders/>
            <w:vAlign w:val="center"/>
          </w:tcPr>
          <w:p>
            <w:pPr>
              <w:pStyle w:val="TableContents"/>
              <w:bidi w:val="0"/>
              <w:spacing w:before="0" w:after="0"/>
              <w:ind w:left="0" w:right="0" w:hanging="0"/>
              <w:jc w:val="left"/>
              <w:rPr/>
            </w:pPr>
            <w:r>
              <w:rPr/>
              <w:t>​</w:t>
            </w:r>
          </w:p>
        </w:tc>
        <w:tc>
          <w:tcPr>
            <w:tcW w:w="8868" w:type="dxa"/>
            <w:tcBorders/>
            <w:vAlign w:val="center"/>
          </w:tcPr>
          <w:p>
            <w:pPr>
              <w:pStyle w:val="TableContents"/>
              <w:bidi w:val="0"/>
              <w:spacing w:before="0" w:after="0"/>
              <w:ind w:left="0" w:right="0" w:hanging="0"/>
              <w:jc w:val="left"/>
              <w:rPr/>
            </w:pPr>
            <w:hyperlink w:anchor="ConsolidatedStatementsofCashFlows">
              <w:r>
                <w:rPr>
                  <w:rStyle w:val="InternetLink"/>
                  <w:rFonts w:ascii="Times New Roman;Times;serif" w:hAnsi="Times New Roman;Times;serif"/>
                  <w:b w:val="false"/>
                  <w:i w:val="false"/>
                  <w:caps w:val="false"/>
                  <w:smallCaps w:val="false"/>
                  <w:sz w:val="20"/>
                </w:rPr>
                <w:t>Unaudited Condensed Consolidated Statements of Cash Flows for the three months ended March 31, 2023 and 2022</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976" w:type="dxa"/>
            <w:tcBorders/>
            <w:vAlign w:val="center"/>
          </w:tcPr>
          <w:p>
            <w:pPr>
              <w:pStyle w:val="TableContents"/>
              <w:bidi w:val="0"/>
              <w:spacing w:before="0" w:after="0"/>
              <w:ind w:left="0" w:right="0" w:hanging="0"/>
              <w:jc w:val="left"/>
              <w:rPr/>
            </w:pPr>
            <w:r>
              <w:rPr/>
              <w:t>​</w:t>
            </w:r>
          </w:p>
        </w:tc>
        <w:tc>
          <w:tcPr>
            <w:tcW w:w="8868"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pPr>
            <w:r>
              <w:rPr/>
              <w:t>​</w:t>
            </w:r>
          </w:p>
        </w:tc>
      </w:tr>
      <w:tr>
        <w:trPr/>
        <w:tc>
          <w:tcPr>
            <w:tcW w:w="976" w:type="dxa"/>
            <w:tcBorders/>
            <w:vAlign w:val="center"/>
          </w:tcPr>
          <w:p>
            <w:pPr>
              <w:pStyle w:val="TableContents"/>
              <w:bidi w:val="0"/>
              <w:spacing w:before="0" w:after="0"/>
              <w:ind w:left="0" w:right="0" w:hanging="0"/>
              <w:jc w:val="left"/>
              <w:rPr/>
            </w:pPr>
            <w:r>
              <w:rPr/>
              <w:t>​</w:t>
            </w:r>
          </w:p>
        </w:tc>
        <w:tc>
          <w:tcPr>
            <w:tcW w:w="8868" w:type="dxa"/>
            <w:tcBorders/>
            <w:vAlign w:val="center"/>
          </w:tcPr>
          <w:p>
            <w:pPr>
              <w:pStyle w:val="TableContents"/>
              <w:bidi w:val="0"/>
              <w:spacing w:before="0" w:after="0"/>
              <w:ind w:left="0" w:right="0" w:hanging="0"/>
              <w:jc w:val="left"/>
              <w:rPr/>
            </w:pPr>
            <w:hyperlink w:anchor="NotestoUnauditedCondensedConsolidatedFin">
              <w:r>
                <w:rPr>
                  <w:rStyle w:val="InternetLink"/>
                  <w:rFonts w:ascii="Times New Roman;Times;serif" w:hAnsi="Times New Roman;Times;serif"/>
                  <w:b w:val="false"/>
                  <w:i w:val="false"/>
                  <w:caps w:val="false"/>
                  <w:smallCaps w:val="false"/>
                  <w:sz w:val="20"/>
                </w:rPr>
                <w:t>Notes to Unaudited Condensed Consolidated Financial Statements</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r>
      <w:tr>
        <w:trPr/>
        <w:tc>
          <w:tcPr>
            <w:tcW w:w="976" w:type="dxa"/>
            <w:tcBorders/>
            <w:vAlign w:val="center"/>
          </w:tcPr>
          <w:p>
            <w:pPr>
              <w:pStyle w:val="TableContents"/>
              <w:bidi w:val="0"/>
              <w:spacing w:before="0" w:after="0"/>
              <w:ind w:left="0" w:right="0" w:hanging="0"/>
              <w:jc w:val="left"/>
              <w:rPr/>
            </w:pPr>
            <w:r>
              <w:rPr/>
              <w:t>​</w:t>
            </w:r>
          </w:p>
        </w:tc>
        <w:tc>
          <w:tcPr>
            <w:tcW w:w="8868"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pPr>
            <w:r>
              <w:rPr/>
              <w:t>​</w:t>
            </w:r>
          </w:p>
        </w:tc>
      </w:tr>
      <w:tr>
        <w:trPr/>
        <w:tc>
          <w:tcPr>
            <w:tcW w:w="976" w:type="dxa"/>
            <w:tcBorders/>
            <w:vAlign w:val="center"/>
          </w:tcPr>
          <w:p>
            <w:pPr>
              <w:pStyle w:val="TableContents"/>
              <w:pBdr/>
              <w:bidi w:val="0"/>
              <w:spacing w:before="0" w:after="0"/>
              <w:ind w:left="0" w:right="0" w:hanging="0"/>
              <w:jc w:val="left"/>
              <w:rPr/>
            </w:pPr>
            <w:hyperlink w:anchor="ITEM2MANAGEMENTSDISCUSSIONANDANALYSISOFF">
              <w:r>
                <w:rPr>
                  <w:rStyle w:val="InternetLink"/>
                  <w:rFonts w:ascii="Times New Roman;Times;serif" w:hAnsi="Times New Roman;Times;serif"/>
                  <w:b w:val="false"/>
                  <w:i w:val="false"/>
                  <w:caps w:val="false"/>
                  <w:smallCaps w:val="false"/>
                  <w:sz w:val="20"/>
                </w:rPr>
                <w:t>Item 2.</w:t>
              </w:r>
            </w:hyperlink>
          </w:p>
        </w:tc>
        <w:tc>
          <w:tcPr>
            <w:tcW w:w="8868" w:type="dxa"/>
            <w:tcBorders/>
            <w:vAlign w:val="center"/>
          </w:tcPr>
          <w:p>
            <w:pPr>
              <w:pStyle w:val="TableContents"/>
              <w:bidi w:val="0"/>
              <w:spacing w:before="0" w:after="0"/>
              <w:ind w:left="0" w:right="0" w:hanging="0"/>
              <w:jc w:val="left"/>
              <w:rPr/>
            </w:pPr>
            <w:hyperlink w:anchor="ITEM2MANAGEMENTSDISCUSSIONANDANALYSISOFF">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r>
      <w:tr>
        <w:trPr/>
        <w:tc>
          <w:tcPr>
            <w:tcW w:w="976" w:type="dxa"/>
            <w:tcBorders/>
            <w:vAlign w:val="center"/>
          </w:tcPr>
          <w:p>
            <w:pPr>
              <w:pStyle w:val="TableContents"/>
              <w:bidi w:val="0"/>
              <w:spacing w:before="0" w:after="0"/>
              <w:ind w:left="0" w:right="0" w:hanging="0"/>
              <w:jc w:val="left"/>
              <w:rPr/>
            </w:pPr>
            <w:r>
              <w:rPr/>
              <w:t>​</w:t>
            </w:r>
          </w:p>
        </w:tc>
        <w:tc>
          <w:tcPr>
            <w:tcW w:w="8868"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pPr>
            <w:r>
              <w:rPr/>
              <w:t>​</w:t>
            </w:r>
          </w:p>
        </w:tc>
      </w:tr>
      <w:tr>
        <w:trPr/>
        <w:tc>
          <w:tcPr>
            <w:tcW w:w="976" w:type="dxa"/>
            <w:tcBorders/>
            <w:vAlign w:val="center"/>
          </w:tcPr>
          <w:p>
            <w:pPr>
              <w:pStyle w:val="TableContents"/>
              <w:pBdr/>
              <w:bidi w:val="0"/>
              <w:spacing w:before="0" w:after="0"/>
              <w:ind w:left="0" w:right="0" w:hanging="0"/>
              <w:jc w:val="left"/>
              <w:rPr/>
            </w:pPr>
            <w:hyperlink w:anchor="ITEM3QuantitativeandQualitativeDisclosur">
              <w:r>
                <w:rPr>
                  <w:rStyle w:val="InternetLink"/>
                  <w:rFonts w:ascii="Times New Roman;Times;serif" w:hAnsi="Times New Roman;Times;serif"/>
                  <w:b w:val="false"/>
                  <w:i w:val="false"/>
                  <w:caps w:val="false"/>
                  <w:smallCaps w:val="false"/>
                  <w:sz w:val="20"/>
                </w:rPr>
                <w:t>Item 3.</w:t>
              </w:r>
            </w:hyperlink>
          </w:p>
        </w:tc>
        <w:tc>
          <w:tcPr>
            <w:tcW w:w="8868" w:type="dxa"/>
            <w:tcBorders/>
            <w:vAlign w:val="center"/>
          </w:tcPr>
          <w:p>
            <w:pPr>
              <w:pStyle w:val="TableContents"/>
              <w:bidi w:val="0"/>
              <w:spacing w:before="0" w:after="0"/>
              <w:ind w:left="0" w:right="0" w:hanging="0"/>
              <w:jc w:val="left"/>
              <w:rPr/>
            </w:pPr>
            <w:hyperlink w:anchor="ITEM3QuantitativeandQualitativeDisclosur">
              <w:r>
                <w:rPr>
                  <w:rStyle w:val="InternetLink"/>
                  <w:rFonts w:ascii="Times New Roman;Times;serif" w:hAnsi="Times New Roman;Times;serif"/>
                  <w:b w:val="false"/>
                  <w:i w:val="false"/>
                  <w:caps w:val="false"/>
                  <w:smallCaps w:val="false"/>
                  <w:sz w:val="20"/>
                </w:rPr>
                <w:t>Quantitative and Qualitative Disclosures About Market Risk</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r>
      <w:tr>
        <w:trPr/>
        <w:tc>
          <w:tcPr>
            <w:tcW w:w="976" w:type="dxa"/>
            <w:tcBorders/>
            <w:vAlign w:val="center"/>
          </w:tcPr>
          <w:p>
            <w:pPr>
              <w:pStyle w:val="TableContents"/>
              <w:bidi w:val="0"/>
              <w:spacing w:before="0" w:after="0"/>
              <w:ind w:left="0" w:right="0" w:hanging="0"/>
              <w:jc w:val="left"/>
              <w:rPr/>
            </w:pPr>
            <w:r>
              <w:rPr/>
              <w:t>​</w:t>
            </w:r>
          </w:p>
        </w:tc>
        <w:tc>
          <w:tcPr>
            <w:tcW w:w="8868"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pPr>
            <w:r>
              <w:rPr/>
              <w:t>​</w:t>
            </w:r>
          </w:p>
        </w:tc>
      </w:tr>
      <w:tr>
        <w:trPr/>
        <w:tc>
          <w:tcPr>
            <w:tcW w:w="976" w:type="dxa"/>
            <w:tcBorders/>
            <w:vAlign w:val="center"/>
          </w:tcPr>
          <w:p>
            <w:pPr>
              <w:pStyle w:val="TableContents"/>
              <w:pBdr/>
              <w:bidi w:val="0"/>
              <w:spacing w:before="0" w:after="0"/>
              <w:ind w:left="0" w:right="0" w:hanging="0"/>
              <w:jc w:val="left"/>
              <w:rPr/>
            </w:pPr>
            <w:hyperlink w:anchor="ITEM4ControlsandProcedures_561590">
              <w:r>
                <w:rPr>
                  <w:rStyle w:val="InternetLink"/>
                  <w:rFonts w:ascii="Times New Roman;Times;serif" w:hAnsi="Times New Roman;Times;serif"/>
                  <w:b w:val="false"/>
                  <w:i w:val="false"/>
                  <w:caps w:val="false"/>
                  <w:smallCaps w:val="false"/>
                  <w:sz w:val="20"/>
                </w:rPr>
                <w:t>Item 4.</w:t>
              </w:r>
            </w:hyperlink>
          </w:p>
        </w:tc>
        <w:tc>
          <w:tcPr>
            <w:tcW w:w="8868" w:type="dxa"/>
            <w:tcBorders/>
            <w:vAlign w:val="center"/>
          </w:tcPr>
          <w:p>
            <w:pPr>
              <w:pStyle w:val="TableContents"/>
              <w:bidi w:val="0"/>
              <w:spacing w:before="0" w:after="0"/>
              <w:ind w:left="0" w:right="0" w:hanging="0"/>
              <w:jc w:val="left"/>
              <w:rPr/>
            </w:pPr>
            <w:hyperlink w:anchor="ITEM4ControlsandProcedures_561590">
              <w:r>
                <w:rPr>
                  <w:rStyle w:val="InternetLink"/>
                  <w:rFonts w:ascii="Times New Roman;Times;serif" w:hAnsi="Times New Roman;Times;serif"/>
                  <w:b w:val="false"/>
                  <w:i w:val="false"/>
                  <w:caps w:val="false"/>
                  <w:smallCaps w:val="false"/>
                  <w:sz w:val="20"/>
                </w:rPr>
                <w:t>Controls and Procedures</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r>
      <w:tr>
        <w:trPr/>
        <w:tc>
          <w:tcPr>
            <w:tcW w:w="976" w:type="dxa"/>
            <w:tcBorders/>
            <w:vAlign w:val="center"/>
          </w:tcPr>
          <w:p>
            <w:pPr>
              <w:pStyle w:val="TableContents"/>
              <w:bidi w:val="0"/>
              <w:spacing w:before="0" w:after="0"/>
              <w:ind w:left="0" w:right="0" w:hanging="0"/>
              <w:jc w:val="left"/>
              <w:rPr/>
            </w:pPr>
            <w:r>
              <w:rPr/>
              <w:t>​</w:t>
            </w:r>
          </w:p>
        </w:tc>
        <w:tc>
          <w:tcPr>
            <w:tcW w:w="8868"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pPr>
            <w:r>
              <w:rPr/>
              <w:t>​</w:t>
            </w:r>
          </w:p>
        </w:tc>
      </w:tr>
      <w:tr>
        <w:trPr/>
        <w:tc>
          <w:tcPr>
            <w:tcW w:w="976" w:type="dxa"/>
            <w:tcBorders/>
            <w:vAlign w:val="center"/>
          </w:tcPr>
          <w:p>
            <w:pPr>
              <w:pStyle w:val="TableContents"/>
              <w:pBdr/>
              <w:bidi w:val="0"/>
              <w:spacing w:before="0" w:after="0"/>
              <w:ind w:left="0" w:right="0" w:hanging="0"/>
              <w:jc w:val="left"/>
              <w:rPr/>
            </w:pPr>
            <w:hyperlink w:anchor="PARTIIOTHERINFORMATION_747688">
              <w:r>
                <w:rPr>
                  <w:rStyle w:val="InternetLink"/>
                  <w:rFonts w:ascii="Times New Roman;Times;serif" w:hAnsi="Times New Roman;Times;serif"/>
                  <w:b/>
                  <w:i w:val="false"/>
                  <w:caps w:val="false"/>
                  <w:smallCaps w:val="false"/>
                  <w:sz w:val="20"/>
                </w:rPr>
                <w:t>Part II.</w:t>
              </w:r>
            </w:hyperlink>
          </w:p>
        </w:tc>
        <w:tc>
          <w:tcPr>
            <w:tcW w:w="8868" w:type="dxa"/>
            <w:tcBorders/>
            <w:vAlign w:val="center"/>
          </w:tcPr>
          <w:p>
            <w:pPr>
              <w:pStyle w:val="TableContents"/>
              <w:bidi w:val="0"/>
              <w:spacing w:before="0" w:after="0"/>
              <w:ind w:left="0" w:right="0" w:hanging="0"/>
              <w:jc w:val="left"/>
              <w:rPr/>
            </w:pPr>
            <w:hyperlink w:anchor="PARTIIOTHERINFORMATION_747688">
              <w:r>
                <w:rPr>
                  <w:rStyle w:val="InternetLink"/>
                  <w:rFonts w:ascii="Times New Roman;Times;serif" w:hAnsi="Times New Roman;Times;serif"/>
                  <w:b/>
                  <w:i w:val="false"/>
                  <w:caps w:val="false"/>
                  <w:smallCaps w:val="false"/>
                  <w:sz w:val="20"/>
                </w:rPr>
                <w:t>Other Information</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r>
      <w:tr>
        <w:trPr/>
        <w:tc>
          <w:tcPr>
            <w:tcW w:w="976" w:type="dxa"/>
            <w:tcBorders/>
            <w:vAlign w:val="center"/>
          </w:tcPr>
          <w:p>
            <w:pPr>
              <w:pStyle w:val="TableContents"/>
              <w:bidi w:val="0"/>
              <w:spacing w:before="0" w:after="0"/>
              <w:ind w:left="0" w:right="0" w:hanging="0"/>
              <w:jc w:val="left"/>
              <w:rPr/>
            </w:pPr>
            <w:r>
              <w:rPr/>
              <w:t>​</w:t>
            </w:r>
          </w:p>
        </w:tc>
        <w:tc>
          <w:tcPr>
            <w:tcW w:w="8868"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pPr>
            <w:r>
              <w:rPr/>
              <w:t>​</w:t>
            </w:r>
          </w:p>
        </w:tc>
      </w:tr>
      <w:tr>
        <w:trPr/>
        <w:tc>
          <w:tcPr>
            <w:tcW w:w="976" w:type="dxa"/>
            <w:tcBorders/>
            <w:vAlign w:val="center"/>
          </w:tcPr>
          <w:p>
            <w:pPr>
              <w:pStyle w:val="TableContents"/>
              <w:pBdr/>
              <w:bidi w:val="0"/>
              <w:spacing w:before="0" w:after="0"/>
              <w:ind w:left="0" w:right="0" w:hanging="0"/>
              <w:jc w:val="left"/>
              <w:rPr/>
            </w:pPr>
            <w:hyperlink w:anchor="Item1LegalProceedings_648425">
              <w:r>
                <w:rPr>
                  <w:rStyle w:val="InternetLink"/>
                  <w:rFonts w:ascii="Times New Roman;Times;serif" w:hAnsi="Times New Roman;Times;serif"/>
                  <w:b w:val="false"/>
                  <w:i w:val="false"/>
                  <w:caps w:val="false"/>
                  <w:smallCaps w:val="false"/>
                  <w:sz w:val="20"/>
                </w:rPr>
                <w:t>Item 1.</w:t>
              </w:r>
            </w:hyperlink>
          </w:p>
        </w:tc>
        <w:tc>
          <w:tcPr>
            <w:tcW w:w="8868" w:type="dxa"/>
            <w:tcBorders/>
            <w:vAlign w:val="center"/>
          </w:tcPr>
          <w:p>
            <w:pPr>
              <w:pStyle w:val="TableContents"/>
              <w:bidi w:val="0"/>
              <w:spacing w:before="0" w:after="0"/>
              <w:ind w:left="0" w:right="0" w:hanging="0"/>
              <w:jc w:val="left"/>
              <w:rPr/>
            </w:pPr>
            <w:hyperlink w:anchor="Item1LegalProceedings_648425">
              <w:r>
                <w:rPr>
                  <w:rStyle w:val="InternetLink"/>
                  <w:rFonts w:ascii="Times New Roman;Times;serif" w:hAnsi="Times New Roman;Times;serif"/>
                  <w:b w:val="false"/>
                  <w:i w:val="false"/>
                  <w:caps w:val="false"/>
                  <w:smallCaps w:val="false"/>
                  <w:sz w:val="20"/>
                </w:rPr>
                <w:t>Legal Proceedings</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r>
      <w:tr>
        <w:trPr/>
        <w:tc>
          <w:tcPr>
            <w:tcW w:w="976" w:type="dxa"/>
            <w:tcBorders/>
            <w:vAlign w:val="center"/>
          </w:tcPr>
          <w:p>
            <w:pPr>
              <w:pStyle w:val="TableContents"/>
              <w:bidi w:val="0"/>
              <w:spacing w:before="0" w:after="0"/>
              <w:ind w:left="0" w:right="0" w:hanging="0"/>
              <w:jc w:val="left"/>
              <w:rPr/>
            </w:pPr>
            <w:r>
              <w:rPr/>
              <w:t>​</w:t>
            </w:r>
          </w:p>
        </w:tc>
        <w:tc>
          <w:tcPr>
            <w:tcW w:w="8868"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pPr>
            <w:r>
              <w:rPr/>
              <w:t>​</w:t>
            </w:r>
          </w:p>
        </w:tc>
      </w:tr>
      <w:tr>
        <w:trPr/>
        <w:tc>
          <w:tcPr>
            <w:tcW w:w="976" w:type="dxa"/>
            <w:tcBorders/>
            <w:vAlign w:val="center"/>
          </w:tcPr>
          <w:p>
            <w:pPr>
              <w:pStyle w:val="TableContents"/>
              <w:pBdr/>
              <w:bidi w:val="0"/>
              <w:spacing w:before="0" w:after="0"/>
              <w:ind w:left="0" w:right="0" w:hanging="0"/>
              <w:jc w:val="left"/>
              <w:rPr/>
            </w:pPr>
            <w:hyperlink w:anchor="Item1ARiskFactors_328583">
              <w:r>
                <w:rPr>
                  <w:rStyle w:val="InternetLink"/>
                  <w:rFonts w:ascii="Times New Roman;Times;serif" w:hAnsi="Times New Roman;Times;serif"/>
                  <w:b w:val="false"/>
                  <w:i w:val="false"/>
                  <w:caps w:val="false"/>
                  <w:smallCaps w:val="false"/>
                  <w:sz w:val="20"/>
                </w:rPr>
                <w:t>Item 1A.</w:t>
              </w:r>
            </w:hyperlink>
          </w:p>
        </w:tc>
        <w:tc>
          <w:tcPr>
            <w:tcW w:w="8868" w:type="dxa"/>
            <w:tcBorders/>
            <w:vAlign w:val="center"/>
          </w:tcPr>
          <w:p>
            <w:pPr>
              <w:pStyle w:val="TableContents"/>
              <w:bidi w:val="0"/>
              <w:spacing w:before="0" w:after="0"/>
              <w:ind w:left="0" w:right="0" w:hanging="0"/>
              <w:jc w:val="left"/>
              <w:rPr/>
            </w:pPr>
            <w:hyperlink w:anchor="Item1ARiskFactors_328583">
              <w:r>
                <w:rPr>
                  <w:rStyle w:val="InternetLink"/>
                  <w:rFonts w:ascii="Times New Roman;Times;serif" w:hAnsi="Times New Roman;Times;serif"/>
                  <w:b w:val="false"/>
                  <w:i w:val="false"/>
                  <w:caps w:val="false"/>
                  <w:smallCaps w:val="false"/>
                  <w:sz w:val="20"/>
                </w:rPr>
                <w:t>Risk Factors</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w:t>
            </w:r>
          </w:p>
        </w:tc>
      </w:tr>
      <w:tr>
        <w:trPr/>
        <w:tc>
          <w:tcPr>
            <w:tcW w:w="976" w:type="dxa"/>
            <w:tcBorders/>
            <w:vAlign w:val="center"/>
          </w:tcPr>
          <w:p>
            <w:pPr>
              <w:pStyle w:val="TableContents"/>
              <w:bidi w:val="0"/>
              <w:spacing w:before="0" w:after="0"/>
              <w:ind w:left="0" w:right="0" w:hanging="0"/>
              <w:jc w:val="left"/>
              <w:rPr/>
            </w:pPr>
            <w:r>
              <w:rPr/>
              <w:t>​</w:t>
            </w:r>
          </w:p>
        </w:tc>
        <w:tc>
          <w:tcPr>
            <w:tcW w:w="8868"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pPr>
            <w:r>
              <w:rPr/>
              <w:t>​</w:t>
            </w:r>
          </w:p>
        </w:tc>
      </w:tr>
      <w:tr>
        <w:trPr/>
        <w:tc>
          <w:tcPr>
            <w:tcW w:w="976" w:type="dxa"/>
            <w:tcBorders/>
            <w:vAlign w:val="center"/>
          </w:tcPr>
          <w:p>
            <w:pPr>
              <w:pStyle w:val="TableContents"/>
              <w:pBdr/>
              <w:bidi w:val="0"/>
              <w:spacing w:before="0" w:after="0"/>
              <w:ind w:left="0" w:right="0" w:hanging="0"/>
              <w:jc w:val="left"/>
              <w:rPr/>
            </w:pPr>
            <w:hyperlink w:anchor="Item2UnregisteredSalesofEquitySecurities">
              <w:r>
                <w:rPr>
                  <w:rStyle w:val="InternetLink"/>
                  <w:rFonts w:ascii="Times New Roman;Times;serif" w:hAnsi="Times New Roman;Times;serif"/>
                  <w:b w:val="false"/>
                  <w:i w:val="false"/>
                  <w:caps w:val="false"/>
                  <w:smallCaps w:val="false"/>
                  <w:sz w:val="20"/>
                </w:rPr>
                <w:t>Item 2.</w:t>
              </w:r>
            </w:hyperlink>
          </w:p>
        </w:tc>
        <w:tc>
          <w:tcPr>
            <w:tcW w:w="8868" w:type="dxa"/>
            <w:tcBorders/>
            <w:vAlign w:val="center"/>
          </w:tcPr>
          <w:p>
            <w:pPr>
              <w:pStyle w:val="TableContents"/>
              <w:bidi w:val="0"/>
              <w:spacing w:before="0" w:after="0"/>
              <w:ind w:left="0" w:right="0" w:hanging="0"/>
              <w:jc w:val="left"/>
              <w:rPr/>
            </w:pPr>
            <w:hyperlink w:anchor="Item2UnregisteredSalesofEquitySecurities">
              <w:r>
                <w:rPr>
                  <w:rStyle w:val="InternetLink"/>
                  <w:rFonts w:ascii="Times New Roman;Times;serif" w:hAnsi="Times New Roman;Times;serif"/>
                  <w:b w:val="false"/>
                  <w:i w:val="false"/>
                  <w:caps w:val="false"/>
                  <w:smallCaps w:val="false"/>
                  <w:sz w:val="20"/>
                </w:rPr>
                <w:t>Unregistered Sales of Equity Securities and Use of Proceeds</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w:t>
            </w:r>
          </w:p>
        </w:tc>
      </w:tr>
      <w:tr>
        <w:trPr/>
        <w:tc>
          <w:tcPr>
            <w:tcW w:w="976" w:type="dxa"/>
            <w:tcBorders/>
            <w:vAlign w:val="center"/>
          </w:tcPr>
          <w:p>
            <w:pPr>
              <w:pStyle w:val="TableContents"/>
              <w:bidi w:val="0"/>
              <w:spacing w:before="0" w:after="0"/>
              <w:ind w:left="0" w:right="0" w:hanging="0"/>
              <w:jc w:val="left"/>
              <w:rPr/>
            </w:pPr>
            <w:r>
              <w:rPr/>
              <w:t>​</w:t>
            </w:r>
          </w:p>
        </w:tc>
        <w:tc>
          <w:tcPr>
            <w:tcW w:w="8868"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pPr>
            <w:r>
              <w:rPr/>
              <w:t>​</w:t>
            </w:r>
          </w:p>
        </w:tc>
      </w:tr>
      <w:tr>
        <w:trPr/>
        <w:tc>
          <w:tcPr>
            <w:tcW w:w="976" w:type="dxa"/>
            <w:tcBorders/>
            <w:vAlign w:val="center"/>
          </w:tcPr>
          <w:p>
            <w:pPr>
              <w:pStyle w:val="TableContents"/>
              <w:pBdr/>
              <w:bidi w:val="0"/>
              <w:spacing w:before="0" w:after="0"/>
              <w:ind w:left="0" w:right="0" w:hanging="0"/>
              <w:jc w:val="left"/>
              <w:rPr/>
            </w:pPr>
            <w:hyperlink w:anchor="Item3DefaultsuponSeniorSecurities_357636">
              <w:r>
                <w:rPr>
                  <w:rStyle w:val="InternetLink"/>
                  <w:rFonts w:ascii="Times New Roman;Times;serif" w:hAnsi="Times New Roman;Times;serif"/>
                  <w:b w:val="false"/>
                  <w:i w:val="false"/>
                  <w:caps w:val="false"/>
                  <w:smallCaps w:val="false"/>
                  <w:sz w:val="20"/>
                </w:rPr>
                <w:t>Item 3.</w:t>
              </w:r>
            </w:hyperlink>
          </w:p>
        </w:tc>
        <w:tc>
          <w:tcPr>
            <w:tcW w:w="8868" w:type="dxa"/>
            <w:tcBorders/>
            <w:vAlign w:val="center"/>
          </w:tcPr>
          <w:p>
            <w:pPr>
              <w:pStyle w:val="TableContents"/>
              <w:bidi w:val="0"/>
              <w:spacing w:before="0" w:after="0"/>
              <w:ind w:left="0" w:right="0" w:hanging="0"/>
              <w:jc w:val="left"/>
              <w:rPr/>
            </w:pPr>
            <w:hyperlink w:anchor="Item3DefaultsuponSeniorSecurities_357636">
              <w:r>
                <w:rPr>
                  <w:rStyle w:val="InternetLink"/>
                  <w:rFonts w:ascii="Times New Roman;Times;serif" w:hAnsi="Times New Roman;Times;serif"/>
                  <w:b w:val="false"/>
                  <w:i w:val="false"/>
                  <w:caps w:val="false"/>
                  <w:smallCaps w:val="false"/>
                  <w:sz w:val="20"/>
                </w:rPr>
                <w:t>Defaults Upon Senior Securities</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w:t>
            </w:r>
          </w:p>
        </w:tc>
      </w:tr>
      <w:tr>
        <w:trPr/>
        <w:tc>
          <w:tcPr>
            <w:tcW w:w="976" w:type="dxa"/>
            <w:tcBorders/>
            <w:vAlign w:val="center"/>
          </w:tcPr>
          <w:p>
            <w:pPr>
              <w:pStyle w:val="TableContents"/>
              <w:bidi w:val="0"/>
              <w:spacing w:before="0" w:after="0"/>
              <w:ind w:left="0" w:right="0" w:hanging="0"/>
              <w:jc w:val="left"/>
              <w:rPr/>
            </w:pPr>
            <w:r>
              <w:rPr/>
              <w:t>​</w:t>
            </w:r>
          </w:p>
        </w:tc>
        <w:tc>
          <w:tcPr>
            <w:tcW w:w="8868"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pPr>
            <w:r>
              <w:rPr/>
              <w:t>​</w:t>
            </w:r>
          </w:p>
        </w:tc>
      </w:tr>
      <w:tr>
        <w:trPr/>
        <w:tc>
          <w:tcPr>
            <w:tcW w:w="976" w:type="dxa"/>
            <w:tcBorders/>
            <w:vAlign w:val="center"/>
          </w:tcPr>
          <w:p>
            <w:pPr>
              <w:pStyle w:val="TableContents"/>
              <w:pBdr/>
              <w:bidi w:val="0"/>
              <w:spacing w:before="0" w:after="0"/>
              <w:ind w:left="0" w:right="0" w:hanging="0"/>
              <w:jc w:val="left"/>
              <w:rPr/>
            </w:pPr>
            <w:hyperlink w:anchor="Item4MineSafetyDisclosures_501310">
              <w:r>
                <w:rPr>
                  <w:rStyle w:val="InternetLink"/>
                  <w:rFonts w:ascii="Times New Roman;Times;serif" w:hAnsi="Times New Roman;Times;serif"/>
                  <w:b w:val="false"/>
                  <w:i w:val="false"/>
                  <w:caps w:val="false"/>
                  <w:smallCaps w:val="false"/>
                  <w:sz w:val="20"/>
                </w:rPr>
                <w:t>Item 4.</w:t>
              </w:r>
            </w:hyperlink>
          </w:p>
        </w:tc>
        <w:tc>
          <w:tcPr>
            <w:tcW w:w="8868" w:type="dxa"/>
            <w:tcBorders/>
            <w:vAlign w:val="center"/>
          </w:tcPr>
          <w:p>
            <w:pPr>
              <w:pStyle w:val="TableContents"/>
              <w:bidi w:val="0"/>
              <w:spacing w:before="0" w:after="0"/>
              <w:ind w:left="0" w:right="0" w:hanging="0"/>
              <w:jc w:val="left"/>
              <w:rPr/>
            </w:pPr>
            <w:hyperlink w:anchor="Item4MineSafetyDisclosures_501310">
              <w:r>
                <w:rPr>
                  <w:rStyle w:val="InternetLink"/>
                  <w:rFonts w:ascii="Times New Roman;Times;serif" w:hAnsi="Times New Roman;Times;serif"/>
                  <w:b w:val="false"/>
                  <w:i w:val="false"/>
                  <w:caps w:val="false"/>
                  <w:smallCaps w:val="false"/>
                  <w:sz w:val="20"/>
                </w:rPr>
                <w:t>Mine Safety Disclosures</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w:t>
            </w:r>
          </w:p>
        </w:tc>
      </w:tr>
      <w:tr>
        <w:trPr/>
        <w:tc>
          <w:tcPr>
            <w:tcW w:w="976" w:type="dxa"/>
            <w:tcBorders/>
            <w:vAlign w:val="center"/>
          </w:tcPr>
          <w:p>
            <w:pPr>
              <w:pStyle w:val="TableContents"/>
              <w:bidi w:val="0"/>
              <w:spacing w:before="0" w:after="0"/>
              <w:ind w:left="0" w:right="0" w:hanging="0"/>
              <w:jc w:val="left"/>
              <w:rPr/>
            </w:pPr>
            <w:r>
              <w:rPr/>
              <w:t>​</w:t>
            </w:r>
          </w:p>
        </w:tc>
        <w:tc>
          <w:tcPr>
            <w:tcW w:w="8868"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pPr>
            <w:r>
              <w:rPr/>
              <w:t>​</w:t>
            </w:r>
          </w:p>
        </w:tc>
      </w:tr>
      <w:tr>
        <w:trPr/>
        <w:tc>
          <w:tcPr>
            <w:tcW w:w="976" w:type="dxa"/>
            <w:tcBorders/>
            <w:vAlign w:val="center"/>
          </w:tcPr>
          <w:p>
            <w:pPr>
              <w:pStyle w:val="TableContents"/>
              <w:pBdr/>
              <w:bidi w:val="0"/>
              <w:spacing w:before="0" w:after="0"/>
              <w:ind w:left="0" w:right="0" w:hanging="0"/>
              <w:jc w:val="left"/>
              <w:rPr/>
            </w:pPr>
            <w:hyperlink w:anchor="Item5OtherInformation_487176">
              <w:r>
                <w:rPr>
                  <w:rStyle w:val="InternetLink"/>
                  <w:rFonts w:ascii="Times New Roman;Times;serif" w:hAnsi="Times New Roman;Times;serif"/>
                  <w:b w:val="false"/>
                  <w:i w:val="false"/>
                  <w:caps w:val="false"/>
                  <w:smallCaps w:val="false"/>
                  <w:sz w:val="20"/>
                </w:rPr>
                <w:t>Item 5.</w:t>
              </w:r>
            </w:hyperlink>
          </w:p>
        </w:tc>
        <w:tc>
          <w:tcPr>
            <w:tcW w:w="8868" w:type="dxa"/>
            <w:tcBorders/>
            <w:vAlign w:val="center"/>
          </w:tcPr>
          <w:p>
            <w:pPr>
              <w:pStyle w:val="TableContents"/>
              <w:bidi w:val="0"/>
              <w:spacing w:before="0" w:after="0"/>
              <w:ind w:left="0" w:right="0" w:hanging="0"/>
              <w:jc w:val="left"/>
              <w:rPr/>
            </w:pPr>
            <w:hyperlink w:anchor="Item5OtherInformation_487176">
              <w:r>
                <w:rPr>
                  <w:rStyle w:val="InternetLink"/>
                  <w:rFonts w:ascii="Times New Roman;Times;serif" w:hAnsi="Times New Roman;Times;serif"/>
                  <w:b w:val="false"/>
                  <w:i w:val="false"/>
                  <w:caps w:val="false"/>
                  <w:smallCaps w:val="false"/>
                  <w:sz w:val="20"/>
                </w:rPr>
                <w:t>Other Information</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w:t>
            </w:r>
          </w:p>
        </w:tc>
      </w:tr>
      <w:tr>
        <w:trPr/>
        <w:tc>
          <w:tcPr>
            <w:tcW w:w="976" w:type="dxa"/>
            <w:tcBorders/>
            <w:vAlign w:val="center"/>
          </w:tcPr>
          <w:p>
            <w:pPr>
              <w:pStyle w:val="TableContents"/>
              <w:bidi w:val="0"/>
              <w:spacing w:before="0" w:after="0"/>
              <w:ind w:left="0" w:right="0" w:hanging="0"/>
              <w:jc w:val="left"/>
              <w:rPr/>
            </w:pPr>
            <w:r>
              <w:rPr/>
              <w:t>​</w:t>
            </w:r>
          </w:p>
        </w:tc>
        <w:tc>
          <w:tcPr>
            <w:tcW w:w="8868"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pPr>
            <w:r>
              <w:rPr/>
              <w:t>​</w:t>
            </w:r>
          </w:p>
        </w:tc>
      </w:tr>
      <w:tr>
        <w:trPr/>
        <w:tc>
          <w:tcPr>
            <w:tcW w:w="976" w:type="dxa"/>
            <w:tcBorders/>
            <w:vAlign w:val="center"/>
          </w:tcPr>
          <w:p>
            <w:pPr>
              <w:pStyle w:val="TableContents"/>
              <w:pBdr/>
              <w:bidi w:val="0"/>
              <w:spacing w:before="0" w:after="0"/>
              <w:ind w:left="0" w:right="0" w:hanging="0"/>
              <w:jc w:val="left"/>
              <w:rPr/>
            </w:pPr>
            <w:hyperlink w:anchor="Item6Exhibits_175156">
              <w:r>
                <w:rPr>
                  <w:rStyle w:val="InternetLink"/>
                  <w:rFonts w:ascii="Times New Roman;Times;serif" w:hAnsi="Times New Roman;Times;serif"/>
                  <w:b w:val="false"/>
                  <w:i w:val="false"/>
                  <w:caps w:val="false"/>
                  <w:smallCaps w:val="false"/>
                  <w:sz w:val="20"/>
                </w:rPr>
                <w:t>Item 6.</w:t>
              </w:r>
            </w:hyperlink>
          </w:p>
        </w:tc>
        <w:tc>
          <w:tcPr>
            <w:tcW w:w="8868" w:type="dxa"/>
            <w:tcBorders/>
            <w:vAlign w:val="center"/>
          </w:tcPr>
          <w:p>
            <w:pPr>
              <w:pStyle w:val="TableContents"/>
              <w:bidi w:val="0"/>
              <w:spacing w:before="0" w:after="0"/>
              <w:ind w:left="0" w:right="0" w:hanging="0"/>
              <w:jc w:val="left"/>
              <w:rPr/>
            </w:pPr>
            <w:hyperlink w:anchor="Item6Exhibits_175156">
              <w:r>
                <w:rPr>
                  <w:rStyle w:val="InternetLink"/>
                  <w:rFonts w:ascii="Times New Roman;Times;serif" w:hAnsi="Times New Roman;Times;serif"/>
                  <w:b w:val="false"/>
                  <w:i w:val="false"/>
                  <w:caps w:val="false"/>
                  <w:smallCaps w:val="false"/>
                  <w:sz w:val="20"/>
                </w:rPr>
                <w:t>Exhibits</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w:t>
            </w:r>
          </w:p>
        </w:tc>
      </w:tr>
      <w:tr>
        <w:trPr/>
        <w:tc>
          <w:tcPr>
            <w:tcW w:w="976" w:type="dxa"/>
            <w:tcBorders/>
            <w:vAlign w:val="center"/>
          </w:tcPr>
          <w:p>
            <w:pPr>
              <w:pStyle w:val="TableContents"/>
              <w:bidi w:val="0"/>
              <w:spacing w:before="0" w:after="0"/>
              <w:ind w:left="0" w:right="0" w:hanging="0"/>
              <w:jc w:val="left"/>
              <w:rPr/>
            </w:pPr>
            <w:r>
              <w:rPr/>
              <w:t>​</w:t>
            </w:r>
          </w:p>
        </w:tc>
        <w:tc>
          <w:tcPr>
            <w:tcW w:w="8868"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pPr>
            <w:r>
              <w:rPr/>
              <w:t>​</w:t>
            </w:r>
          </w:p>
        </w:tc>
      </w:tr>
      <w:tr>
        <w:trPr/>
        <w:tc>
          <w:tcPr>
            <w:tcW w:w="976" w:type="dxa"/>
            <w:tcBorders/>
            <w:vAlign w:val="center"/>
          </w:tcPr>
          <w:p>
            <w:pPr>
              <w:pStyle w:val="TableContents"/>
              <w:pBdr/>
              <w:bidi w:val="0"/>
              <w:spacing w:before="0" w:after="0"/>
              <w:ind w:left="0" w:right="0" w:hanging="0"/>
              <w:jc w:val="left"/>
              <w:rPr/>
            </w:pPr>
            <w:hyperlink w:anchor="SIGNATURES_395744">
              <w:r>
                <w:rPr>
                  <w:rStyle w:val="InternetLink"/>
                  <w:rFonts w:ascii="Times New Roman;Times;serif" w:hAnsi="Times New Roman;Times;serif"/>
                  <w:b w:val="false"/>
                  <w:i w:val="false"/>
                  <w:caps w:val="false"/>
                  <w:smallCaps w:val="false"/>
                  <w:sz w:val="20"/>
                </w:rPr>
                <w:t>Signatures</w:t>
              </w:r>
            </w:hyperlink>
          </w:p>
        </w:tc>
        <w:tc>
          <w:tcPr>
            <w:tcW w:w="8868"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w:t>
            </w:r>
          </w:p>
        </w:tc>
      </w:tr>
    </w:tbl>
    <w:p>
      <w:pPr>
        <w:pStyle w:val="TextBody"/>
        <w:bidi w:val="0"/>
        <w:spacing w:before="0" w:after="0"/>
        <w:ind w:left="0" w:right="0" w:hanging="0"/>
        <w:jc w:val="left"/>
        <w:rPr/>
      </w:pPr>
      <w:r>
        <w:rPr/>
        <w:t>​</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bookmarkStart w:id="44" w:name="_6083bfc6_2f02_40a6_9539_8c619c44521a"/>
      <w:bookmarkEnd w:id="44"/>
      <w:r>
        <w:rPr>
          <w:rFonts w:ascii="Times New Roman;Times;serif" w:hAnsi="Times New Roman;Times;serif"/>
          <w:b/>
          <w:sz w:val="20"/>
        </w:rPr>
        <w:t>Helius Medical Technologies, Inc.</w:t>
      </w:r>
    </w:p>
    <w:p>
      <w:pPr>
        <w:pStyle w:val="TextBody"/>
        <w:bidi w:val="0"/>
        <w:spacing w:before="0" w:after="0"/>
        <w:ind w:left="0" w:right="0" w:hanging="0"/>
        <w:jc w:val="left"/>
        <w:rPr>
          <w:rFonts w:ascii="Times New Roman;Times;serif" w:hAnsi="Times New Roman;Times;serif"/>
          <w:b/>
          <w:sz w:val="20"/>
        </w:rPr>
      </w:pPr>
      <w:bookmarkStart w:id="45" w:name="UnauditedCondensedConsolidatedBalance"/>
      <w:bookmarkEnd w:id="45"/>
      <w:r>
        <w:rPr>
          <w:rFonts w:ascii="Times New Roman;Times;serif" w:hAnsi="Times New Roman;Times;serif"/>
          <w:b/>
          <w:sz w:val="20"/>
        </w:rPr>
        <w:t>Unaudited Condensed Consolidated Balance Sheets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thousands, except share data)</w:t>
      </w:r>
    </w:p>
    <w:p>
      <w:pPr>
        <w:pStyle w:val="TextBody"/>
        <w:bidi w:val="0"/>
        <w:spacing w:before="0" w:after="240"/>
        <w:ind w:left="0" w:right="0" w:hanging="0"/>
        <w:jc w:val="both"/>
        <w:rPr/>
      </w:pPr>
      <w:r>
        <w:rPr/>
        <w:t>​</w:t>
      </w:r>
    </w:p>
    <w:p>
      <w:pPr>
        <w:pStyle w:val="Normal"/>
        <w:bidi w:val="0"/>
        <w:spacing w:before="0" w:after="0"/>
        <w:jc w:val="left"/>
        <w:rPr>
          <w:sz w:val="4"/>
          <w:szCs w:val="4"/>
        </w:rPr>
      </w:pPr>
      <w:r>
        <w:rPr>
          <w:sz w:val="4"/>
          <w:szCs w:val="4"/>
        </w:rPr>
      </w:r>
      <w:bookmarkStart w:id="46" w:name="Tc_aRvNTvkHokW-1usBOA9l1w_32_5"/>
      <w:bookmarkStart w:id="47" w:name="Tc_-xHuvDInuUqkVE-y4y3dsw_32_2"/>
      <w:bookmarkStart w:id="48" w:name="Tc_WplHO7SANUiNSr0oKLN5nQ_32_0"/>
      <w:bookmarkStart w:id="49" w:name="Tc_CetdqXi7Y0aNxz0t8Ystzw_31_0"/>
      <w:bookmarkStart w:id="50" w:name="Tc_jqG43KsA00-JhctwVFouvQ_30_0"/>
      <w:bookmarkStart w:id="51" w:name="Tc_ixM2auhoCEiV2Rb4s-lIQw_29_0"/>
      <w:bookmarkStart w:id="52" w:name="Tc_hB0ppDCjIU-cI6yhNOogSg_28_0"/>
      <w:bookmarkStart w:id="53" w:name="Tc_rliXVnquUEqh6qQOcKXeFg_27_0"/>
      <w:bookmarkStart w:id="54" w:name="Tc_ZBAHMgGlOUWMOdwuGI7mdA_26_0"/>
      <w:bookmarkStart w:id="55" w:name="Tc_0FX576KE70iteP8A4bfYkQ_25_0"/>
      <w:bookmarkStart w:id="56" w:name="Tc_OklD1W0wrkeWr6U2LpxDaA_24_0"/>
      <w:bookmarkStart w:id="57" w:name="Tc_ZhIDHRjJq0-R3shtzdv4MA_23_0"/>
      <w:bookmarkStart w:id="58" w:name="Tc_gVqKXKqKA0qyreJNPAkUIQ_22_0"/>
      <w:bookmarkStart w:id="59" w:name="Tc_qRTWWJen_0K9efIr8y3Iuw_21_0"/>
      <w:bookmarkStart w:id="60" w:name="Tc_EAwsed4mek6glouKGNztKg_20_0"/>
      <w:bookmarkStart w:id="61" w:name="Tc_og5gIkJ8RUWW8xFuIOP9Pw_19_0"/>
      <w:bookmarkStart w:id="62" w:name="Tc_WxR-h1wGAEiz8W23BnZQUg_18_0"/>
      <w:bookmarkStart w:id="63" w:name="Tc_prjrwftnbUGwysN8xaPGtg_17_0"/>
      <w:bookmarkStart w:id="64" w:name="Tc_1QMf_ji4HUis_ll7ThzdfA_16_5"/>
      <w:bookmarkStart w:id="65" w:name="Tc_ifUaTVmLX0u4IewtedRd8g_16_2"/>
      <w:bookmarkStart w:id="66" w:name="Tc_JDGaHsimBUSoEmCo9_Z_DA_16_0"/>
      <w:bookmarkStart w:id="67" w:name="Tc_sgsz6kMUeEC6uysrotbEaw_15_0"/>
      <w:bookmarkStart w:id="68" w:name="Tc_HjPjXxnG9Eu_m4ZAHIJmGg_14_0"/>
      <w:bookmarkStart w:id="69" w:name="Tc_ne7hxsUpxUu5hDHFRCmaaA_13_5"/>
      <w:bookmarkStart w:id="70" w:name="Tc_fXtpBGykiEmaGkuxUjAS4Q_13_2"/>
      <w:bookmarkStart w:id="71" w:name="Tc_Y6As3CXrskuv7v2dPk2wMw_13_0"/>
      <w:bookmarkStart w:id="72" w:name="Tc_r4NL-dd3kEak5sS4dW2rIg_12_0"/>
      <w:bookmarkStart w:id="73" w:name="Tc_AfNYa-kFuUaLuoWGwcsmLg_11_0"/>
      <w:bookmarkStart w:id="74" w:name="Tc_33aLmPz--kqPJJYL9Vy0KQ_10_0"/>
      <w:bookmarkStart w:id="75" w:name="Tc_RqrxoG2i8E23r9OD_qy8wg_9_0"/>
      <w:bookmarkStart w:id="76" w:name="Tc_gEiD6431yEeLRh8Mtk6Ehg_8_0"/>
      <w:bookmarkStart w:id="77" w:name="Tc_BbdMvzWNV0KgDPOMM1r45w_7_0"/>
      <w:bookmarkStart w:id="78" w:name="Tc_K95G37qciEyAiDrMBMPSoA_6_0"/>
      <w:bookmarkStart w:id="79" w:name="Tc_DKYJAQjdY0Ov5U8gP1a9Ew_5_0"/>
      <w:bookmarkStart w:id="80" w:name="Tc_p_HUJ6zyvkCiLethLd2bvg_4_5"/>
      <w:bookmarkStart w:id="81" w:name="Tc_bB51Bh4-qkiTqAVSEF8I6Q_4_2"/>
      <w:bookmarkStart w:id="82" w:name="Tc_L35oIjdT0E6nr2aRAnAmZA_4_0"/>
      <w:bookmarkStart w:id="83" w:name="Tc_k_UJwnZF9EGvb-ZGfS1Bzw_3_0"/>
      <w:bookmarkStart w:id="84" w:name="Tc_hYmQUGxEeEuckH0JQOiLOw_2_0"/>
      <w:bookmarkStart w:id="85" w:name="Tc_nRQDNxr3TUOLNAkwgr4aSQ_1_5"/>
      <w:bookmarkStart w:id="86" w:name="Tc_-6h56OWHAk-B4dZohyyPIA_1_2"/>
      <w:bookmarkStart w:id="87" w:name="_e48f6a30_a86c_46ed_89c7_8ba36391284f"/>
      <w:bookmarkStart w:id="88" w:name="Tc_aRvNTvkHokW-1usBOA9l1w_32_5"/>
      <w:bookmarkStart w:id="89" w:name="Tc_-xHuvDInuUqkVE-y4y3dsw_32_2"/>
      <w:bookmarkStart w:id="90" w:name="Tc_WplHO7SANUiNSr0oKLN5nQ_32_0"/>
      <w:bookmarkStart w:id="91" w:name="Tc_CetdqXi7Y0aNxz0t8Ystzw_31_0"/>
      <w:bookmarkStart w:id="92" w:name="Tc_jqG43KsA00-JhctwVFouvQ_30_0"/>
      <w:bookmarkStart w:id="93" w:name="Tc_ixM2auhoCEiV2Rb4s-lIQw_29_0"/>
      <w:bookmarkStart w:id="94" w:name="Tc_hB0ppDCjIU-cI6yhNOogSg_28_0"/>
      <w:bookmarkStart w:id="95" w:name="Tc_rliXVnquUEqh6qQOcKXeFg_27_0"/>
      <w:bookmarkStart w:id="96" w:name="Tc_ZBAHMgGlOUWMOdwuGI7mdA_26_0"/>
      <w:bookmarkStart w:id="97" w:name="Tc_0FX576KE70iteP8A4bfYkQ_25_0"/>
      <w:bookmarkStart w:id="98" w:name="Tc_OklD1W0wrkeWr6U2LpxDaA_24_0"/>
      <w:bookmarkStart w:id="99" w:name="Tc_ZhIDHRjJq0-R3shtzdv4MA_23_0"/>
      <w:bookmarkStart w:id="100" w:name="Tc_gVqKXKqKA0qyreJNPAkUIQ_22_0"/>
      <w:bookmarkStart w:id="101" w:name="Tc_qRTWWJen_0K9efIr8y3Iuw_21_0"/>
      <w:bookmarkStart w:id="102" w:name="Tc_EAwsed4mek6glouKGNztKg_20_0"/>
      <w:bookmarkStart w:id="103" w:name="Tc_og5gIkJ8RUWW8xFuIOP9Pw_19_0"/>
      <w:bookmarkStart w:id="104" w:name="Tc_WxR-h1wGAEiz8W23BnZQUg_18_0"/>
      <w:bookmarkStart w:id="105" w:name="Tc_prjrwftnbUGwysN8xaPGtg_17_0"/>
      <w:bookmarkStart w:id="106" w:name="Tc_1QMf_ji4HUis_ll7ThzdfA_16_5"/>
      <w:bookmarkStart w:id="107" w:name="Tc_ifUaTVmLX0u4IewtedRd8g_16_2"/>
      <w:bookmarkStart w:id="108" w:name="Tc_JDGaHsimBUSoEmCo9_Z_DA_16_0"/>
      <w:bookmarkStart w:id="109" w:name="Tc_sgsz6kMUeEC6uysrotbEaw_15_0"/>
      <w:bookmarkStart w:id="110" w:name="Tc_HjPjXxnG9Eu_m4ZAHIJmGg_14_0"/>
      <w:bookmarkStart w:id="111" w:name="Tc_ne7hxsUpxUu5hDHFRCmaaA_13_5"/>
      <w:bookmarkStart w:id="112" w:name="Tc_fXtpBGykiEmaGkuxUjAS4Q_13_2"/>
      <w:bookmarkStart w:id="113" w:name="Tc_Y6As3CXrskuv7v2dPk2wMw_13_0"/>
      <w:bookmarkStart w:id="114" w:name="Tc_r4NL-dd3kEak5sS4dW2rIg_12_0"/>
      <w:bookmarkStart w:id="115" w:name="Tc_AfNYa-kFuUaLuoWGwcsmLg_11_0"/>
      <w:bookmarkStart w:id="116" w:name="Tc_33aLmPz--kqPJJYL9Vy0KQ_10_0"/>
      <w:bookmarkStart w:id="117" w:name="Tc_RqrxoG2i8E23r9OD_qy8wg_9_0"/>
      <w:bookmarkStart w:id="118" w:name="Tc_gEiD6431yEeLRh8Mtk6Ehg_8_0"/>
      <w:bookmarkStart w:id="119" w:name="Tc_BbdMvzWNV0KgDPOMM1r45w_7_0"/>
      <w:bookmarkStart w:id="120" w:name="Tc_K95G37qciEyAiDrMBMPSoA_6_0"/>
      <w:bookmarkStart w:id="121" w:name="Tc_DKYJAQjdY0Ov5U8gP1a9Ew_5_0"/>
      <w:bookmarkStart w:id="122" w:name="Tc_p_HUJ6zyvkCiLethLd2bvg_4_5"/>
      <w:bookmarkStart w:id="123" w:name="Tc_bB51Bh4-qkiTqAVSEF8I6Q_4_2"/>
      <w:bookmarkStart w:id="124" w:name="Tc_L35oIjdT0E6nr2aRAnAmZA_4_0"/>
      <w:bookmarkStart w:id="125" w:name="Tc_k_UJwnZF9EGvb-ZGfS1Bzw_3_0"/>
      <w:bookmarkStart w:id="126" w:name="Tc_hYmQUGxEeEuckH0JQOiLOw_2_0"/>
      <w:bookmarkStart w:id="127" w:name="Tc_nRQDNxr3TUOLNAkwgr4aSQ_1_5"/>
      <w:bookmarkStart w:id="128" w:name="Tc_-6h56OWHAk-B4dZohyyPIA_1_2"/>
      <w:bookmarkStart w:id="129" w:name="_e48f6a30_a86c_46ed_89c7_8ba36391284f"/>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p>
    <w:tbl>
      <w:tblPr>
        <w:tblW w:w="10205" w:type="dxa"/>
        <w:jc w:val="left"/>
        <w:tblInd w:w="0" w:type="dxa"/>
        <w:tblLayout w:type="fixed"/>
        <w:tblCellMar>
          <w:top w:w="0" w:type="dxa"/>
          <w:left w:w="0" w:type="dxa"/>
          <w:bottom w:w="0" w:type="dxa"/>
          <w:right w:w="0" w:type="dxa"/>
        </w:tblCellMar>
      </w:tblPr>
      <w:tblGrid>
        <w:gridCol w:w="6746"/>
        <w:gridCol w:w="326"/>
        <w:gridCol w:w="252"/>
        <w:gridCol w:w="1009"/>
        <w:gridCol w:w="326"/>
        <w:gridCol w:w="297"/>
        <w:gridCol w:w="1249"/>
      </w:tblGrid>
      <w:tr>
        <w:trPr/>
        <w:tc>
          <w:tcPr>
            <w:tcW w:w="67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4283710" cy="175260"/>
                      <wp:effectExtent l="0" t="0" r="0" b="0"/>
                      <wp:wrapNone/>
                      <wp:docPr id="4" name="Frame4"/>
                      <a:graphic xmlns:a="http://schemas.openxmlformats.org/drawingml/2006/main">
                        <a:graphicData uri="http://schemas.microsoft.com/office/word/2010/wordprocessingShape">
                          <wps:wsp>
                            <wps:cNvSpPr txBox="1"/>
                            <wps:spPr>
                              <a:xfrm>
                                <a:off x="0" y="0"/>
                                <a:ext cx="4283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207010" cy="175260"/>
                      <wp:effectExtent l="0" t="0" r="0" b="0"/>
                      <wp:wrapNone/>
                      <wp:docPr id="5" name="Frame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160020" cy="175260"/>
                      <wp:effectExtent l="0" t="0" r="0" b="0"/>
                      <wp:wrapNone/>
                      <wp:docPr id="6" name="Frame6"/>
                      <a:graphic xmlns:a="http://schemas.openxmlformats.org/drawingml/2006/main">
                        <a:graphicData uri="http://schemas.microsoft.com/office/word/2010/wordprocessingShape">
                          <wps:wsp>
                            <wps:cNvSpPr txBox="1"/>
                            <wps:spPr>
                              <a:xfrm>
                                <a:off x="0" y="0"/>
                                <a:ext cx="1600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0715" cy="175260"/>
                      <wp:effectExtent l="0" t="0" r="0" b="0"/>
                      <wp:wrapNone/>
                      <wp:docPr id="7" name="Frame7"/>
                      <a:graphic xmlns:a="http://schemas.openxmlformats.org/drawingml/2006/main">
                        <a:graphicData uri="http://schemas.microsoft.com/office/word/2010/wordprocessingShape">
                          <wps:wsp>
                            <wps:cNvSpPr txBox="1"/>
                            <wps:spPr>
                              <a:xfrm>
                                <a:off x="0" y="0"/>
                                <a:ext cx="6407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207010" cy="175260"/>
                      <wp:effectExtent l="0" t="0" r="0" b="0"/>
                      <wp:wrapNone/>
                      <wp:docPr id="8" name="Frame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188595" cy="175260"/>
                      <wp:effectExtent l="0" t="0" r="0" b="0"/>
                      <wp:wrapNone/>
                      <wp:docPr id="9" name="Frame9"/>
                      <a:graphic xmlns:a="http://schemas.openxmlformats.org/drawingml/2006/main">
                        <a:graphicData uri="http://schemas.microsoft.com/office/word/2010/wordprocessingShape">
                          <wps:wsp>
                            <wps:cNvSpPr txBox="1"/>
                            <wps:spPr>
                              <a:xfrm>
                                <a:off x="0" y="0"/>
                                <a:ext cx="1885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793115" cy="175260"/>
                      <wp:effectExtent l="0" t="0" r="0" b="0"/>
                      <wp:wrapNone/>
                      <wp:docPr id="10" name="Frame10"/>
                      <a:graphic xmlns:a="http://schemas.openxmlformats.org/drawingml/2006/main">
                        <a:graphicData uri="http://schemas.microsoft.com/office/word/2010/wordprocessingShape">
                          <wps:wsp>
                            <wps:cNvSpPr txBox="1"/>
                            <wps:spPr>
                              <a:xfrm>
                                <a:off x="0" y="0"/>
                                <a:ext cx="7931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7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26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2023</w:t>
            </w:r>
          </w:p>
        </w:tc>
        <w:tc>
          <w:tcPr>
            <w:tcW w:w="326" w:type="dxa"/>
            <w:tcBorders/>
            <w:vAlign w:val="center"/>
          </w:tcPr>
          <w:p>
            <w:pPr>
              <w:pStyle w:val="TableContents"/>
              <w:bidi w:val="0"/>
              <w:spacing w:before="0" w:after="0"/>
              <w:ind w:left="0" w:right="0" w:hanging="0"/>
              <w:jc w:val="left"/>
              <w:rPr/>
            </w:pPr>
            <w:r>
              <w:rPr/>
              <w:t>    </w:t>
            </w:r>
          </w:p>
        </w:tc>
        <w:tc>
          <w:tcPr>
            <w:tcW w:w="15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2022</w:t>
            </w:r>
          </w:p>
        </w:tc>
      </w:tr>
      <w:tr>
        <w:trPr/>
        <w:tc>
          <w:tcPr>
            <w:tcW w:w="6746" w:type="dxa"/>
            <w:tcBorders/>
            <w:shd w:fill="CCEEFF" w:val="cle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ASSETS</w:t>
            </w:r>
          </w:p>
        </w:tc>
        <w:tc>
          <w:tcPr>
            <w:tcW w:w="326" w:type="dxa"/>
            <w:tcBorders/>
            <w:shd w:fill="CCEEFF" w:val="clear"/>
            <w:vAlign w:val="center"/>
          </w:tcPr>
          <w:p>
            <w:pPr>
              <w:pStyle w:val="TableContents"/>
              <w:bidi w:val="0"/>
              <w:spacing w:before="0" w:after="0"/>
              <w:ind w:left="0" w:right="0" w:hanging="0"/>
              <w:jc w:val="left"/>
              <w:rPr/>
            </w:pPr>
            <w:r>
              <w:rPr/>
              <w:t> </w:t>
            </w:r>
          </w:p>
        </w:tc>
        <w:tc>
          <w:tcPr>
            <w:tcW w:w="252" w:type="dxa"/>
            <w:tcBorders/>
            <w:shd w:fill="CCEEFF" w:val="clear"/>
            <w:vAlign w:val="center"/>
          </w:tcPr>
          <w:p>
            <w:pPr>
              <w:pStyle w:val="TableContents"/>
              <w:bidi w:val="0"/>
              <w:spacing w:before="0" w:after="0"/>
              <w:ind w:left="0" w:right="0" w:hanging="0"/>
              <w:jc w:val="left"/>
              <w:rPr/>
            </w:pPr>
            <w:r>
              <w:rPr/>
              <w:t>​</w:t>
            </w:r>
          </w:p>
        </w:tc>
        <w:tc>
          <w:tcPr>
            <w:tcW w:w="1009"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297" w:type="dxa"/>
            <w:tcBorders/>
            <w:shd w:fill="CCEEFF" w:val="clear"/>
            <w:vAlign w:val="center"/>
          </w:tcPr>
          <w:p>
            <w:pPr>
              <w:pStyle w:val="TableContents"/>
              <w:bidi w:val="0"/>
              <w:spacing w:before="0" w:after="0"/>
              <w:ind w:left="0" w:right="0" w:hanging="0"/>
              <w:jc w:val="left"/>
              <w:rPr/>
            </w:pPr>
            <w:r>
              <w:rPr/>
              <w:t>​</w:t>
            </w:r>
          </w:p>
        </w:tc>
        <w:tc>
          <w:tcPr>
            <w:tcW w:w="1249" w:type="dxa"/>
            <w:tcBorders/>
            <w:shd w:fill="CCEEFF" w:val="clear"/>
            <w:vAlign w:val="center"/>
          </w:tcPr>
          <w:p>
            <w:pPr>
              <w:pStyle w:val="TableContents"/>
              <w:bidi w:val="0"/>
              <w:spacing w:before="0" w:after="0"/>
              <w:ind w:left="0" w:right="0" w:hanging="0"/>
              <w:jc w:val="right"/>
              <w:rPr/>
            </w:pPr>
            <w:r>
              <w:rPr/>
              <w:t>  </w:t>
            </w:r>
          </w:p>
        </w:tc>
      </w:tr>
      <w:tr>
        <w:trPr/>
        <w:tc>
          <w:tcPr>
            <w:tcW w:w="674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Current assets</w:t>
            </w:r>
          </w:p>
        </w:tc>
        <w:tc>
          <w:tcPr>
            <w:tcW w:w="326" w:type="dxa"/>
            <w:tcBorders/>
            <w:vAlign w:val="center"/>
          </w:tcPr>
          <w:p>
            <w:pPr>
              <w:pStyle w:val="TableContents"/>
              <w:bidi w:val="0"/>
              <w:spacing w:before="0" w:after="0"/>
              <w:ind w:left="0" w:right="0" w:hanging="0"/>
              <w:jc w:val="left"/>
              <w:rPr/>
            </w:pPr>
            <w:r>
              <w:rPr/>
              <w:t> </w:t>
            </w:r>
          </w:p>
        </w:tc>
        <w:tc>
          <w:tcPr>
            <w:tcW w:w="252" w:type="dxa"/>
            <w:tcBorders/>
            <w:vAlign w:val="center"/>
          </w:tcPr>
          <w:p>
            <w:pPr>
              <w:pStyle w:val="TableContents"/>
              <w:bidi w:val="0"/>
              <w:spacing w:before="0" w:after="0"/>
              <w:ind w:left="0" w:right="0" w:hanging="0"/>
              <w:jc w:val="left"/>
              <w:rPr/>
            </w:pPr>
            <w:r>
              <w:rPr/>
              <w:t>​</w:t>
            </w:r>
          </w:p>
        </w:tc>
        <w:tc>
          <w:tcPr>
            <w:tcW w:w="1009"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297" w:type="dxa"/>
            <w:tcBorders/>
            <w:vAlign w:val="center"/>
          </w:tcPr>
          <w:p>
            <w:pPr>
              <w:pStyle w:val="TableContents"/>
              <w:bidi w:val="0"/>
              <w:spacing w:before="0" w:after="0"/>
              <w:ind w:left="0" w:right="0" w:hanging="0"/>
              <w:jc w:val="left"/>
              <w:rPr/>
            </w:pPr>
            <w:r>
              <w:rPr/>
              <w:t>​</w:t>
            </w:r>
          </w:p>
        </w:tc>
        <w:tc>
          <w:tcPr>
            <w:tcW w:w="1249" w:type="dxa"/>
            <w:tcBorders/>
            <w:vAlign w:val="center"/>
          </w:tcPr>
          <w:p>
            <w:pPr>
              <w:pStyle w:val="TableContents"/>
              <w:bidi w:val="0"/>
              <w:spacing w:before="0" w:after="0"/>
              <w:ind w:left="0" w:right="0" w:hanging="0"/>
              <w:jc w:val="right"/>
              <w:rPr/>
            </w:pPr>
            <w:r>
              <w:rPr/>
              <w:t>  </w:t>
            </w:r>
          </w:p>
        </w:tc>
      </w:tr>
      <w:tr>
        <w:trPr/>
        <w:tc>
          <w:tcPr>
            <w:tcW w:w="67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26"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0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11,340</w:t>
            </w:r>
          </w:p>
        </w:tc>
        <w:tc>
          <w:tcPr>
            <w:tcW w:w="326" w:type="dxa"/>
            <w:tcBorders/>
            <w:shd w:fill="CCEEFF" w:val="clear"/>
            <w:vAlign w:val="center"/>
          </w:tcPr>
          <w:p>
            <w:pPr>
              <w:pStyle w:val="TableContents"/>
              <w:bidi w:val="0"/>
              <w:spacing w:before="0" w:after="0"/>
              <w:ind w:left="0" w:right="0" w:hanging="0"/>
              <w:jc w:val="left"/>
              <w:rPr/>
            </w:pPr>
            <w:r>
              <w:rPr/>
              <w:t>​</w:t>
            </w:r>
          </w:p>
        </w:tc>
        <w:tc>
          <w:tcPr>
            <w:tcW w:w="29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4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14,549</w:t>
            </w:r>
          </w:p>
        </w:tc>
      </w:tr>
      <w:tr>
        <w:trPr/>
        <w:tc>
          <w:tcPr>
            <w:tcW w:w="67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Accounts receivable, net </w:t>
            </w:r>
          </w:p>
        </w:tc>
        <w:tc>
          <w:tcPr>
            <w:tcW w:w="326"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pPr>
            <w:r>
              <w:rPr/>
              <w:t> </w:t>
            </w:r>
          </w:p>
        </w:tc>
        <w:tc>
          <w:tcPr>
            <w:tcW w:w="100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326" w:type="dxa"/>
            <w:tcBorders/>
            <w:vAlign w:val="center"/>
          </w:tcPr>
          <w:p>
            <w:pPr>
              <w:pStyle w:val="TableContents"/>
              <w:bidi w:val="0"/>
              <w:spacing w:before="0" w:after="0"/>
              <w:ind w:left="0" w:right="0" w:hanging="0"/>
              <w:jc w:val="left"/>
              <w:rPr/>
            </w:pPr>
            <w:r>
              <w:rPr/>
              <w:t>​</w:t>
            </w:r>
          </w:p>
        </w:tc>
        <w:tc>
          <w:tcPr>
            <w:tcW w:w="297" w:type="dxa"/>
            <w:tcBorders/>
            <w:vAlign w:val="center"/>
          </w:tcPr>
          <w:p>
            <w:pPr>
              <w:pStyle w:val="TableContents"/>
              <w:bidi w:val="0"/>
              <w:spacing w:before="0" w:after="0"/>
              <w:ind w:left="0" w:right="0" w:hanging="0"/>
              <w:jc w:val="left"/>
              <w:rPr/>
            </w:pPr>
            <w:r>
              <w:rPr/>
              <w:t> </w:t>
            </w:r>
          </w:p>
        </w:tc>
        <w:tc>
          <w:tcPr>
            <w:tcW w:w="124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w:t>
            </w:r>
          </w:p>
        </w:tc>
      </w:tr>
      <w:tr>
        <w:trPr/>
        <w:tc>
          <w:tcPr>
            <w:tcW w:w="67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receivables</w:t>
            </w:r>
          </w:p>
        </w:tc>
        <w:tc>
          <w:tcPr>
            <w:tcW w:w="326"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pPr>
            <w:r>
              <w:rPr/>
              <w:t> </w:t>
            </w:r>
          </w:p>
        </w:tc>
        <w:tc>
          <w:tcPr>
            <w:tcW w:w="100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156</w:t>
            </w:r>
          </w:p>
        </w:tc>
        <w:tc>
          <w:tcPr>
            <w:tcW w:w="326" w:type="dxa"/>
            <w:tcBorders/>
            <w:shd w:fill="CCEEFF" w:val="clear"/>
            <w:vAlign w:val="center"/>
          </w:tcPr>
          <w:p>
            <w:pPr>
              <w:pStyle w:val="TableContents"/>
              <w:bidi w:val="0"/>
              <w:spacing w:before="0" w:after="0"/>
              <w:ind w:left="0" w:right="0" w:hanging="0"/>
              <w:jc w:val="left"/>
              <w:rPr/>
            </w:pPr>
            <w:r>
              <w:rPr/>
              <w:t>​</w:t>
            </w:r>
          </w:p>
        </w:tc>
        <w:tc>
          <w:tcPr>
            <w:tcW w:w="297" w:type="dxa"/>
            <w:tcBorders/>
            <w:shd w:fill="CCEEFF" w:val="clear"/>
            <w:vAlign w:val="center"/>
          </w:tcPr>
          <w:p>
            <w:pPr>
              <w:pStyle w:val="TableContents"/>
              <w:bidi w:val="0"/>
              <w:spacing w:before="0" w:after="0"/>
              <w:ind w:left="0" w:right="0" w:hanging="0"/>
              <w:jc w:val="left"/>
              <w:rPr/>
            </w:pPr>
            <w:r>
              <w:rPr/>
              <w:t> </w:t>
            </w:r>
          </w:p>
        </w:tc>
        <w:tc>
          <w:tcPr>
            <w:tcW w:w="124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272</w:t>
            </w:r>
          </w:p>
        </w:tc>
      </w:tr>
      <w:tr>
        <w:trPr/>
        <w:tc>
          <w:tcPr>
            <w:tcW w:w="67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Inventory, net</w:t>
            </w:r>
          </w:p>
        </w:tc>
        <w:tc>
          <w:tcPr>
            <w:tcW w:w="326"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pPr>
            <w:r>
              <w:rPr/>
              <w:t> </w:t>
            </w:r>
          </w:p>
        </w:tc>
        <w:tc>
          <w:tcPr>
            <w:tcW w:w="100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617</w:t>
            </w:r>
          </w:p>
        </w:tc>
        <w:tc>
          <w:tcPr>
            <w:tcW w:w="326" w:type="dxa"/>
            <w:tcBorders/>
            <w:vAlign w:val="center"/>
          </w:tcPr>
          <w:p>
            <w:pPr>
              <w:pStyle w:val="TableContents"/>
              <w:bidi w:val="0"/>
              <w:spacing w:before="0" w:after="0"/>
              <w:ind w:left="0" w:right="0" w:hanging="0"/>
              <w:jc w:val="left"/>
              <w:rPr/>
            </w:pPr>
            <w:r>
              <w:rPr/>
              <w:t>​</w:t>
            </w:r>
          </w:p>
        </w:tc>
        <w:tc>
          <w:tcPr>
            <w:tcW w:w="297" w:type="dxa"/>
            <w:tcBorders/>
            <w:vAlign w:val="center"/>
          </w:tcPr>
          <w:p>
            <w:pPr>
              <w:pStyle w:val="TableContents"/>
              <w:bidi w:val="0"/>
              <w:spacing w:before="0" w:after="0"/>
              <w:ind w:left="0" w:right="0" w:hanging="0"/>
              <w:jc w:val="left"/>
              <w:rPr/>
            </w:pPr>
            <w:r>
              <w:rPr/>
              <w:t> </w:t>
            </w:r>
          </w:p>
        </w:tc>
        <w:tc>
          <w:tcPr>
            <w:tcW w:w="124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589</w:t>
            </w:r>
          </w:p>
        </w:tc>
      </w:tr>
      <w:tr>
        <w:trPr/>
        <w:tc>
          <w:tcPr>
            <w:tcW w:w="67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Prepaid expenses and other current assets</w:t>
            </w:r>
          </w:p>
        </w:tc>
        <w:tc>
          <w:tcPr>
            <w:tcW w:w="326" w:type="dxa"/>
            <w:tcBorders/>
            <w:shd w:fill="CCEEFF" w:val="clear"/>
            <w:vAlign w:val="center"/>
          </w:tcPr>
          <w:p>
            <w:pPr>
              <w:pStyle w:val="TableContents"/>
              <w:bidi w:val="0"/>
              <w:spacing w:before="0" w:after="0"/>
              <w:ind w:left="0" w:right="0" w:hanging="0"/>
              <w:jc w:val="left"/>
              <w:rPr/>
            </w:pPr>
            <w:r>
              <w:rPr/>
              <w:t>​</w:t>
            </w:r>
          </w:p>
        </w:tc>
        <w:tc>
          <w:tcPr>
            <w:tcW w:w="25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0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1,085</w:t>
            </w:r>
          </w:p>
        </w:tc>
        <w:tc>
          <w:tcPr>
            <w:tcW w:w="326" w:type="dxa"/>
            <w:tcBorders/>
            <w:shd w:fill="CCEEFF" w:val="clear"/>
            <w:vAlign w:val="center"/>
          </w:tcPr>
          <w:p>
            <w:pPr>
              <w:pStyle w:val="TableContents"/>
              <w:bidi w:val="0"/>
              <w:spacing w:before="0" w:after="0"/>
              <w:ind w:left="0" w:right="0" w:hanging="0"/>
              <w:jc w:val="left"/>
              <w:rPr/>
            </w:pPr>
            <w:r>
              <w:rPr/>
              <w:t>​</w:t>
            </w:r>
          </w:p>
        </w:tc>
        <w:tc>
          <w:tcPr>
            <w:tcW w:w="29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4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1,216</w:t>
            </w:r>
          </w:p>
        </w:tc>
      </w:tr>
      <w:tr>
        <w:trPr/>
        <w:tc>
          <w:tcPr>
            <w:tcW w:w="67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current assets</w:t>
            </w:r>
          </w:p>
        </w:tc>
        <w:tc>
          <w:tcPr>
            <w:tcW w:w="326"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pPr>
            <w:r>
              <w:rPr/>
              <w:t> </w:t>
            </w:r>
          </w:p>
        </w:tc>
        <w:tc>
          <w:tcPr>
            <w:tcW w:w="100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13,209</w:t>
            </w:r>
          </w:p>
        </w:tc>
        <w:tc>
          <w:tcPr>
            <w:tcW w:w="326" w:type="dxa"/>
            <w:tcBorders/>
            <w:vAlign w:val="center"/>
          </w:tcPr>
          <w:p>
            <w:pPr>
              <w:pStyle w:val="TableContents"/>
              <w:bidi w:val="0"/>
              <w:spacing w:before="0" w:after="0"/>
              <w:ind w:left="0" w:right="0" w:hanging="0"/>
              <w:jc w:val="left"/>
              <w:rPr/>
            </w:pPr>
            <w:r>
              <w:rPr/>
              <w:t>​</w:t>
            </w:r>
          </w:p>
        </w:tc>
        <w:tc>
          <w:tcPr>
            <w:tcW w:w="297" w:type="dxa"/>
            <w:tcBorders/>
            <w:vAlign w:val="center"/>
          </w:tcPr>
          <w:p>
            <w:pPr>
              <w:pStyle w:val="TableContents"/>
              <w:bidi w:val="0"/>
              <w:spacing w:before="0" w:after="0"/>
              <w:ind w:left="0" w:right="0" w:hanging="0"/>
              <w:jc w:val="left"/>
              <w:rPr/>
            </w:pPr>
            <w:r>
              <w:rPr/>
              <w:t> </w:t>
            </w:r>
          </w:p>
        </w:tc>
        <w:tc>
          <w:tcPr>
            <w:tcW w:w="124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16,697</w:t>
            </w:r>
          </w:p>
        </w:tc>
      </w:tr>
      <w:tr>
        <w:trPr/>
        <w:tc>
          <w:tcPr>
            <w:tcW w:w="67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Property and equipment, net</w:t>
            </w:r>
          </w:p>
        </w:tc>
        <w:tc>
          <w:tcPr>
            <w:tcW w:w="326"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pPr>
            <w:r>
              <w:rPr/>
              <w:t> </w:t>
            </w:r>
          </w:p>
        </w:tc>
        <w:tc>
          <w:tcPr>
            <w:tcW w:w="100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354</w:t>
            </w:r>
          </w:p>
        </w:tc>
        <w:tc>
          <w:tcPr>
            <w:tcW w:w="326" w:type="dxa"/>
            <w:tcBorders/>
            <w:shd w:fill="CCEEFF" w:val="clear"/>
            <w:vAlign w:val="center"/>
          </w:tcPr>
          <w:p>
            <w:pPr>
              <w:pStyle w:val="TableContents"/>
              <w:bidi w:val="0"/>
              <w:spacing w:before="0" w:after="0"/>
              <w:ind w:left="0" w:right="0" w:hanging="0"/>
              <w:jc w:val="left"/>
              <w:rPr/>
            </w:pPr>
            <w:r>
              <w:rPr/>
              <w:t>​</w:t>
            </w:r>
          </w:p>
        </w:tc>
        <w:tc>
          <w:tcPr>
            <w:tcW w:w="297" w:type="dxa"/>
            <w:tcBorders/>
            <w:shd w:fill="CCEEFF" w:val="clear"/>
            <w:vAlign w:val="center"/>
          </w:tcPr>
          <w:p>
            <w:pPr>
              <w:pStyle w:val="TableContents"/>
              <w:bidi w:val="0"/>
              <w:spacing w:before="0" w:after="0"/>
              <w:ind w:left="0" w:right="0" w:hanging="0"/>
              <w:jc w:val="left"/>
              <w:rPr/>
            </w:pPr>
            <w:r>
              <w:rPr/>
              <w:t> </w:t>
            </w:r>
          </w:p>
        </w:tc>
        <w:tc>
          <w:tcPr>
            <w:tcW w:w="124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347</w:t>
            </w:r>
          </w:p>
        </w:tc>
      </w:tr>
      <w:tr>
        <w:trPr/>
        <w:tc>
          <w:tcPr>
            <w:tcW w:w="67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Intangible assets, net</w:t>
            </w:r>
          </w:p>
        </w:tc>
        <w:tc>
          <w:tcPr>
            <w:tcW w:w="326"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pPr>
            <w:r>
              <w:rPr/>
              <w:t> </w:t>
            </w:r>
          </w:p>
        </w:tc>
        <w:tc>
          <w:tcPr>
            <w:tcW w:w="100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w:t>
            </w:r>
          </w:p>
        </w:tc>
        <w:tc>
          <w:tcPr>
            <w:tcW w:w="326" w:type="dxa"/>
            <w:tcBorders/>
            <w:vAlign w:val="center"/>
          </w:tcPr>
          <w:p>
            <w:pPr>
              <w:pStyle w:val="TableContents"/>
              <w:bidi w:val="0"/>
              <w:spacing w:before="0" w:after="0"/>
              <w:ind w:left="0" w:right="0" w:hanging="0"/>
              <w:jc w:val="left"/>
              <w:rPr/>
            </w:pPr>
            <w:r>
              <w:rPr/>
              <w:t>​</w:t>
            </w:r>
          </w:p>
        </w:tc>
        <w:tc>
          <w:tcPr>
            <w:tcW w:w="297" w:type="dxa"/>
            <w:tcBorders/>
            <w:vAlign w:val="center"/>
          </w:tcPr>
          <w:p>
            <w:pPr>
              <w:pStyle w:val="TableContents"/>
              <w:bidi w:val="0"/>
              <w:spacing w:before="0" w:after="0"/>
              <w:ind w:left="0" w:right="0" w:hanging="0"/>
              <w:jc w:val="left"/>
              <w:rPr/>
            </w:pPr>
            <w:r>
              <w:rPr/>
              <w:t> </w:t>
            </w:r>
          </w:p>
        </w:tc>
        <w:tc>
          <w:tcPr>
            <w:tcW w:w="124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w:t>
            </w:r>
          </w:p>
        </w:tc>
      </w:tr>
      <w:tr>
        <w:trPr/>
        <w:tc>
          <w:tcPr>
            <w:tcW w:w="67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right-of-use asset, net</w:t>
            </w:r>
          </w:p>
        </w:tc>
        <w:tc>
          <w:tcPr>
            <w:tcW w:w="326" w:type="dxa"/>
            <w:tcBorders/>
            <w:shd w:fill="CCEEFF" w:val="clear"/>
            <w:vAlign w:val="center"/>
          </w:tcPr>
          <w:p>
            <w:pPr>
              <w:pStyle w:val="TableContents"/>
              <w:bidi w:val="0"/>
              <w:spacing w:before="0" w:after="0"/>
              <w:ind w:left="0" w:right="0" w:hanging="0"/>
              <w:jc w:val="left"/>
              <w:rPr/>
            </w:pPr>
            <w:r>
              <w:rPr/>
              <w:t>​</w:t>
            </w:r>
          </w:p>
        </w:tc>
        <w:tc>
          <w:tcPr>
            <w:tcW w:w="25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0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w:t>
            </w:r>
          </w:p>
        </w:tc>
        <w:tc>
          <w:tcPr>
            <w:tcW w:w="326" w:type="dxa"/>
            <w:tcBorders/>
            <w:shd w:fill="CCEEFF" w:val="clear"/>
            <w:vAlign w:val="center"/>
          </w:tcPr>
          <w:p>
            <w:pPr>
              <w:pStyle w:val="TableContents"/>
              <w:bidi w:val="0"/>
              <w:spacing w:before="0" w:after="0"/>
              <w:ind w:left="0" w:right="0" w:hanging="0"/>
              <w:jc w:val="left"/>
              <w:rPr/>
            </w:pPr>
            <w:r>
              <w:rPr/>
              <w:t>​</w:t>
            </w:r>
          </w:p>
        </w:tc>
        <w:tc>
          <w:tcPr>
            <w:tcW w:w="29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4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w:t>
            </w:r>
          </w:p>
        </w:tc>
      </w:tr>
      <w:tr>
        <w:trPr/>
        <w:tc>
          <w:tcPr>
            <w:tcW w:w="67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assets</w:t>
            </w:r>
          </w:p>
        </w:tc>
        <w:tc>
          <w:tcPr>
            <w:tcW w:w="326" w:type="dxa"/>
            <w:tcBorders/>
            <w:vAlign w:val="center"/>
          </w:tcPr>
          <w:p>
            <w:pPr>
              <w:pStyle w:val="TableContents"/>
              <w:bidi w:val="0"/>
              <w:spacing w:before="0" w:after="0"/>
              <w:ind w:left="0" w:right="0" w:hanging="0"/>
              <w:jc w:val="left"/>
              <w:rPr/>
            </w:pPr>
            <w:r>
              <w:rPr/>
              <w:t>​</w:t>
            </w:r>
          </w:p>
        </w:tc>
        <w:tc>
          <w:tcPr>
            <w:tcW w:w="25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0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13,755</w:t>
            </w:r>
          </w:p>
        </w:tc>
        <w:tc>
          <w:tcPr>
            <w:tcW w:w="326" w:type="dxa"/>
            <w:tcBorders/>
            <w:vAlign w:val="center"/>
          </w:tcPr>
          <w:p>
            <w:pPr>
              <w:pStyle w:val="TableContents"/>
              <w:bidi w:val="0"/>
              <w:spacing w:before="0" w:after="0"/>
              <w:ind w:left="0" w:right="0" w:hanging="0"/>
              <w:jc w:val="left"/>
              <w:rPr/>
            </w:pPr>
            <w:r>
              <w:rPr/>
              <w:t>​</w:t>
            </w:r>
          </w:p>
        </w:tc>
        <w:tc>
          <w:tcPr>
            <w:tcW w:w="29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4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17,287</w:t>
            </w:r>
          </w:p>
        </w:tc>
      </w:tr>
      <w:tr>
        <w:trPr/>
        <w:tc>
          <w:tcPr>
            <w:tcW w:w="6746" w:type="dxa"/>
            <w:tcBorders/>
            <w:shd w:fill="CCEEFF" w:val="cle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LIABILITIES AND STOCKHOLDERS’ EQUITY</w:t>
            </w:r>
          </w:p>
        </w:tc>
        <w:tc>
          <w:tcPr>
            <w:tcW w:w="326"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pPr>
            <w:r>
              <w:rPr/>
              <w:t> </w:t>
            </w:r>
          </w:p>
        </w:tc>
        <w:tc>
          <w:tcPr>
            <w:tcW w:w="100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97" w:type="dxa"/>
            <w:tcBorders/>
            <w:shd w:fill="CCEEFF" w:val="clear"/>
            <w:vAlign w:val="center"/>
          </w:tcPr>
          <w:p>
            <w:pPr>
              <w:pStyle w:val="TableContents"/>
              <w:bidi w:val="0"/>
              <w:spacing w:before="0" w:after="0"/>
              <w:ind w:left="0" w:right="0" w:hanging="0"/>
              <w:jc w:val="left"/>
              <w:rPr/>
            </w:pPr>
            <w:r>
              <w:rPr/>
              <w:t> </w:t>
            </w:r>
          </w:p>
        </w:tc>
        <w:tc>
          <w:tcPr>
            <w:tcW w:w="1249" w:type="dxa"/>
            <w:tcBorders/>
            <w:shd w:fill="CCEEFF" w:val="clear"/>
            <w:vAlign w:val="center"/>
          </w:tcPr>
          <w:p>
            <w:pPr>
              <w:pStyle w:val="TableContents"/>
              <w:bidi w:val="0"/>
              <w:spacing w:before="0" w:after="0"/>
              <w:ind w:left="0" w:right="0" w:hanging="0"/>
              <w:jc w:val="right"/>
              <w:rPr/>
            </w:pPr>
            <w:r>
              <w:rPr/>
              <w:t>​</w:t>
            </w:r>
          </w:p>
        </w:tc>
      </w:tr>
      <w:tr>
        <w:trPr/>
        <w:tc>
          <w:tcPr>
            <w:tcW w:w="674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Current liabilities</w:t>
            </w:r>
          </w:p>
        </w:tc>
        <w:tc>
          <w:tcPr>
            <w:tcW w:w="326"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pPr>
            <w:r>
              <w:rPr/>
              <w:t> </w:t>
            </w:r>
          </w:p>
        </w:tc>
        <w:tc>
          <w:tcPr>
            <w:tcW w:w="100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97" w:type="dxa"/>
            <w:tcBorders/>
            <w:vAlign w:val="center"/>
          </w:tcPr>
          <w:p>
            <w:pPr>
              <w:pStyle w:val="TableContents"/>
              <w:bidi w:val="0"/>
              <w:spacing w:before="0" w:after="0"/>
              <w:ind w:left="0" w:right="0" w:hanging="0"/>
              <w:jc w:val="left"/>
              <w:rPr/>
            </w:pPr>
            <w:r>
              <w:rPr/>
              <w:t> </w:t>
            </w:r>
          </w:p>
        </w:tc>
        <w:tc>
          <w:tcPr>
            <w:tcW w:w="1249" w:type="dxa"/>
            <w:tcBorders/>
            <w:vAlign w:val="center"/>
          </w:tcPr>
          <w:p>
            <w:pPr>
              <w:pStyle w:val="TableContents"/>
              <w:bidi w:val="0"/>
              <w:spacing w:before="0" w:after="0"/>
              <w:ind w:left="0" w:right="0" w:hanging="0"/>
              <w:jc w:val="right"/>
              <w:rPr/>
            </w:pPr>
            <w:r>
              <w:rPr/>
              <w:t>​</w:t>
            </w:r>
          </w:p>
        </w:tc>
      </w:tr>
      <w:tr>
        <w:trPr/>
        <w:tc>
          <w:tcPr>
            <w:tcW w:w="67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payable</w:t>
            </w:r>
          </w:p>
        </w:tc>
        <w:tc>
          <w:tcPr>
            <w:tcW w:w="326"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0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840</w:t>
            </w:r>
          </w:p>
        </w:tc>
        <w:tc>
          <w:tcPr>
            <w:tcW w:w="326" w:type="dxa"/>
            <w:tcBorders/>
            <w:shd w:fill="CCEEFF" w:val="clear"/>
            <w:vAlign w:val="center"/>
          </w:tcPr>
          <w:p>
            <w:pPr>
              <w:pStyle w:val="TableContents"/>
              <w:bidi w:val="0"/>
              <w:spacing w:before="0" w:after="0"/>
              <w:ind w:left="0" w:right="0" w:hanging="0"/>
              <w:jc w:val="left"/>
              <w:rPr/>
            </w:pPr>
            <w:r>
              <w:rPr/>
              <w:t>​</w:t>
            </w:r>
          </w:p>
        </w:tc>
        <w:tc>
          <w:tcPr>
            <w:tcW w:w="29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4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627</w:t>
            </w:r>
          </w:p>
        </w:tc>
      </w:tr>
      <w:tr>
        <w:trPr/>
        <w:tc>
          <w:tcPr>
            <w:tcW w:w="67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and other current liabilities</w:t>
            </w:r>
          </w:p>
        </w:tc>
        <w:tc>
          <w:tcPr>
            <w:tcW w:w="326"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pPr>
            <w:r>
              <w:rPr/>
              <w:t> </w:t>
            </w:r>
          </w:p>
        </w:tc>
        <w:tc>
          <w:tcPr>
            <w:tcW w:w="100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856</w:t>
            </w:r>
          </w:p>
        </w:tc>
        <w:tc>
          <w:tcPr>
            <w:tcW w:w="326" w:type="dxa"/>
            <w:tcBorders/>
            <w:vAlign w:val="center"/>
          </w:tcPr>
          <w:p>
            <w:pPr>
              <w:pStyle w:val="TableContents"/>
              <w:bidi w:val="0"/>
              <w:spacing w:before="0" w:after="0"/>
              <w:ind w:left="0" w:right="0" w:hanging="0"/>
              <w:jc w:val="left"/>
              <w:rPr/>
            </w:pPr>
            <w:r>
              <w:rPr/>
              <w:t>​</w:t>
            </w:r>
          </w:p>
        </w:tc>
        <w:tc>
          <w:tcPr>
            <w:tcW w:w="297" w:type="dxa"/>
            <w:tcBorders/>
            <w:vAlign w:val="center"/>
          </w:tcPr>
          <w:p>
            <w:pPr>
              <w:pStyle w:val="TableContents"/>
              <w:bidi w:val="0"/>
              <w:spacing w:before="0" w:after="0"/>
              <w:ind w:left="0" w:right="0" w:hanging="0"/>
              <w:jc w:val="left"/>
              <w:rPr/>
            </w:pPr>
            <w:r>
              <w:rPr/>
              <w:t> </w:t>
            </w:r>
          </w:p>
        </w:tc>
        <w:tc>
          <w:tcPr>
            <w:tcW w:w="124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1,280</w:t>
            </w:r>
          </w:p>
        </w:tc>
      </w:tr>
      <w:tr>
        <w:trPr/>
        <w:tc>
          <w:tcPr>
            <w:tcW w:w="67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pPr>
            <w:r>
              <w:rPr/>
              <w:t> </w:t>
            </w:r>
          </w:p>
        </w:tc>
        <w:tc>
          <w:tcPr>
            <w:tcW w:w="100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w:t>
            </w:r>
          </w:p>
        </w:tc>
        <w:tc>
          <w:tcPr>
            <w:tcW w:w="326" w:type="dxa"/>
            <w:tcBorders/>
            <w:shd w:fill="CCEEFF" w:val="clear"/>
            <w:vAlign w:val="center"/>
          </w:tcPr>
          <w:p>
            <w:pPr>
              <w:pStyle w:val="TableContents"/>
              <w:bidi w:val="0"/>
              <w:spacing w:before="0" w:after="0"/>
              <w:ind w:left="0" w:right="0" w:hanging="0"/>
              <w:jc w:val="left"/>
              <w:rPr/>
            </w:pPr>
            <w:r>
              <w:rPr/>
              <w:t>​</w:t>
            </w:r>
          </w:p>
        </w:tc>
        <w:tc>
          <w:tcPr>
            <w:tcW w:w="297" w:type="dxa"/>
            <w:tcBorders/>
            <w:shd w:fill="CCEEFF" w:val="clear"/>
            <w:vAlign w:val="center"/>
          </w:tcPr>
          <w:p>
            <w:pPr>
              <w:pStyle w:val="TableContents"/>
              <w:bidi w:val="0"/>
              <w:spacing w:before="0" w:after="0"/>
              <w:ind w:left="0" w:right="0" w:hanging="0"/>
              <w:jc w:val="left"/>
              <w:rPr/>
            </w:pPr>
            <w:r>
              <w:rPr/>
              <w:t> </w:t>
            </w:r>
          </w:p>
        </w:tc>
        <w:tc>
          <w:tcPr>
            <w:tcW w:w="124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w:t>
            </w:r>
          </w:p>
        </w:tc>
      </w:tr>
      <w:tr>
        <w:trPr/>
        <w:tc>
          <w:tcPr>
            <w:tcW w:w="67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revenue</w:t>
            </w:r>
          </w:p>
        </w:tc>
        <w:tc>
          <w:tcPr>
            <w:tcW w:w="326" w:type="dxa"/>
            <w:tcBorders/>
            <w:vAlign w:val="center"/>
          </w:tcPr>
          <w:p>
            <w:pPr>
              <w:pStyle w:val="TableContents"/>
              <w:bidi w:val="0"/>
              <w:spacing w:before="0" w:after="0"/>
              <w:ind w:left="0" w:right="0" w:hanging="0"/>
              <w:jc w:val="left"/>
              <w:rPr/>
            </w:pPr>
            <w:r>
              <w:rPr/>
              <w:t>​</w:t>
            </w:r>
          </w:p>
        </w:tc>
        <w:tc>
          <w:tcPr>
            <w:tcW w:w="25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0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w:t>
            </w:r>
          </w:p>
        </w:tc>
        <w:tc>
          <w:tcPr>
            <w:tcW w:w="326" w:type="dxa"/>
            <w:tcBorders/>
            <w:vAlign w:val="center"/>
          </w:tcPr>
          <w:p>
            <w:pPr>
              <w:pStyle w:val="TableContents"/>
              <w:bidi w:val="0"/>
              <w:spacing w:before="0" w:after="0"/>
              <w:ind w:left="0" w:right="0" w:hanging="0"/>
              <w:jc w:val="left"/>
              <w:rPr/>
            </w:pPr>
            <w:r>
              <w:rPr/>
              <w:t>​</w:t>
            </w:r>
          </w:p>
        </w:tc>
        <w:tc>
          <w:tcPr>
            <w:tcW w:w="297"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4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w:t>
            </w:r>
          </w:p>
        </w:tc>
      </w:tr>
      <w:tr>
        <w:trPr/>
        <w:tc>
          <w:tcPr>
            <w:tcW w:w="67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current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pPr>
            <w:r>
              <w:rPr/>
              <w:t> </w:t>
            </w:r>
          </w:p>
        </w:tc>
        <w:tc>
          <w:tcPr>
            <w:tcW w:w="100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1,789</w:t>
            </w:r>
          </w:p>
        </w:tc>
        <w:tc>
          <w:tcPr>
            <w:tcW w:w="326" w:type="dxa"/>
            <w:tcBorders/>
            <w:shd w:fill="CCEEFF" w:val="clear"/>
            <w:vAlign w:val="center"/>
          </w:tcPr>
          <w:p>
            <w:pPr>
              <w:pStyle w:val="TableContents"/>
              <w:bidi w:val="0"/>
              <w:spacing w:before="0" w:after="0"/>
              <w:ind w:left="0" w:right="0" w:hanging="0"/>
              <w:jc w:val="left"/>
              <w:rPr/>
            </w:pPr>
            <w:r>
              <w:rPr/>
              <w:t>​</w:t>
            </w:r>
          </w:p>
        </w:tc>
        <w:tc>
          <w:tcPr>
            <w:tcW w:w="297" w:type="dxa"/>
            <w:tcBorders/>
            <w:shd w:fill="CCEEFF" w:val="clear"/>
            <w:vAlign w:val="center"/>
          </w:tcPr>
          <w:p>
            <w:pPr>
              <w:pStyle w:val="TableContents"/>
              <w:bidi w:val="0"/>
              <w:spacing w:before="0" w:after="0"/>
              <w:ind w:left="0" w:right="0" w:hanging="0"/>
              <w:jc w:val="left"/>
              <w:rPr/>
            </w:pPr>
            <w:r>
              <w:rPr/>
              <w:t> </w:t>
            </w:r>
          </w:p>
        </w:tc>
        <w:tc>
          <w:tcPr>
            <w:tcW w:w="124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1,988</w:t>
            </w:r>
          </w:p>
        </w:tc>
      </w:tr>
      <w:tr>
        <w:trPr/>
        <w:tc>
          <w:tcPr>
            <w:tcW w:w="67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liabilities</w:t>
            </w:r>
          </w:p>
        </w:tc>
        <w:tc>
          <w:tcPr>
            <w:tcW w:w="326"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pPr>
            <w:r>
              <w:rPr/>
              <w:t> </w:t>
            </w:r>
          </w:p>
        </w:tc>
        <w:tc>
          <w:tcPr>
            <w:tcW w:w="100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w:t>
            </w:r>
          </w:p>
        </w:tc>
        <w:tc>
          <w:tcPr>
            <w:tcW w:w="326" w:type="dxa"/>
            <w:tcBorders/>
            <w:vAlign w:val="center"/>
          </w:tcPr>
          <w:p>
            <w:pPr>
              <w:pStyle w:val="TableContents"/>
              <w:bidi w:val="0"/>
              <w:spacing w:before="0" w:after="0"/>
              <w:ind w:left="0" w:right="0" w:hanging="0"/>
              <w:jc w:val="left"/>
              <w:rPr/>
            </w:pPr>
            <w:r>
              <w:rPr/>
              <w:t>​</w:t>
            </w:r>
          </w:p>
        </w:tc>
        <w:tc>
          <w:tcPr>
            <w:tcW w:w="297" w:type="dxa"/>
            <w:tcBorders/>
            <w:vAlign w:val="center"/>
          </w:tcPr>
          <w:p>
            <w:pPr>
              <w:pStyle w:val="TableContents"/>
              <w:bidi w:val="0"/>
              <w:spacing w:before="0" w:after="0"/>
              <w:ind w:left="0" w:right="0" w:hanging="0"/>
              <w:jc w:val="left"/>
              <w:rPr/>
            </w:pPr>
            <w:r>
              <w:rPr/>
              <w:t> </w:t>
            </w:r>
          </w:p>
        </w:tc>
        <w:tc>
          <w:tcPr>
            <w:tcW w:w="124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w:t>
            </w:r>
          </w:p>
        </w:tc>
      </w:tr>
      <w:tr>
        <w:trPr/>
        <w:tc>
          <w:tcPr>
            <w:tcW w:w="67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revenue</w:t>
            </w:r>
          </w:p>
        </w:tc>
        <w:tc>
          <w:tcPr>
            <w:tcW w:w="326"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pPr>
            <w:r>
              <w:rPr/>
              <w:t> </w:t>
            </w:r>
          </w:p>
        </w:tc>
        <w:tc>
          <w:tcPr>
            <w:tcW w:w="100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w:t>
            </w:r>
          </w:p>
        </w:tc>
        <w:tc>
          <w:tcPr>
            <w:tcW w:w="326" w:type="dxa"/>
            <w:tcBorders/>
            <w:shd w:fill="CCEEFF" w:val="clear"/>
            <w:vAlign w:val="center"/>
          </w:tcPr>
          <w:p>
            <w:pPr>
              <w:pStyle w:val="TableContents"/>
              <w:bidi w:val="0"/>
              <w:spacing w:before="0" w:after="0"/>
              <w:ind w:left="0" w:right="0" w:hanging="0"/>
              <w:jc w:val="left"/>
              <w:rPr/>
            </w:pPr>
            <w:r>
              <w:rPr/>
              <w:t>​</w:t>
            </w:r>
          </w:p>
        </w:tc>
        <w:tc>
          <w:tcPr>
            <w:tcW w:w="297" w:type="dxa"/>
            <w:tcBorders/>
            <w:shd w:fill="CCEEFF" w:val="clear"/>
            <w:vAlign w:val="center"/>
          </w:tcPr>
          <w:p>
            <w:pPr>
              <w:pStyle w:val="TableContents"/>
              <w:bidi w:val="0"/>
              <w:spacing w:before="0" w:after="0"/>
              <w:ind w:left="0" w:right="0" w:hanging="0"/>
              <w:jc w:val="left"/>
              <w:rPr/>
            </w:pPr>
            <w:r>
              <w:rPr/>
              <w:t> </w:t>
            </w:r>
          </w:p>
        </w:tc>
        <w:tc>
          <w:tcPr>
            <w:tcW w:w="124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175</w:t>
            </w:r>
          </w:p>
        </w:tc>
      </w:tr>
      <w:tr>
        <w:trPr/>
        <w:tc>
          <w:tcPr>
            <w:tcW w:w="67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Derivative liability</w:t>
            </w:r>
          </w:p>
        </w:tc>
        <w:tc>
          <w:tcPr>
            <w:tcW w:w="326" w:type="dxa"/>
            <w:tcBorders/>
            <w:vAlign w:val="center"/>
          </w:tcPr>
          <w:p>
            <w:pPr>
              <w:pStyle w:val="TableContents"/>
              <w:bidi w:val="0"/>
              <w:spacing w:before="0" w:after="0"/>
              <w:ind w:left="0" w:right="0" w:hanging="0"/>
              <w:jc w:val="left"/>
              <w:rPr/>
            </w:pPr>
            <w:r>
              <w:rPr/>
              <w:t>​</w:t>
            </w:r>
          </w:p>
        </w:tc>
        <w:tc>
          <w:tcPr>
            <w:tcW w:w="25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0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5,696</w:t>
            </w:r>
          </w:p>
        </w:tc>
        <w:tc>
          <w:tcPr>
            <w:tcW w:w="326" w:type="dxa"/>
            <w:tcBorders/>
            <w:vAlign w:val="center"/>
          </w:tcPr>
          <w:p>
            <w:pPr>
              <w:pStyle w:val="TableContents"/>
              <w:bidi w:val="0"/>
              <w:spacing w:before="0" w:after="0"/>
              <w:ind w:left="0" w:right="0" w:hanging="0"/>
              <w:jc w:val="left"/>
              <w:rPr/>
            </w:pPr>
            <w:r>
              <w:rPr/>
              <w:t>​</w:t>
            </w:r>
          </w:p>
        </w:tc>
        <w:tc>
          <w:tcPr>
            <w:tcW w:w="29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4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6,917</w:t>
            </w:r>
          </w:p>
        </w:tc>
      </w:tr>
      <w:tr>
        <w:trPr/>
        <w:tc>
          <w:tcPr>
            <w:tcW w:w="67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5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0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7,688</w:t>
            </w:r>
          </w:p>
        </w:tc>
        <w:tc>
          <w:tcPr>
            <w:tcW w:w="326" w:type="dxa"/>
            <w:tcBorders/>
            <w:shd w:fill="CCEEFF" w:val="clear"/>
            <w:vAlign w:val="center"/>
          </w:tcPr>
          <w:p>
            <w:pPr>
              <w:pStyle w:val="TableContents"/>
              <w:bidi w:val="0"/>
              <w:spacing w:before="0" w:after="0"/>
              <w:ind w:left="0" w:right="0" w:hanging="0"/>
              <w:jc w:val="left"/>
              <w:rPr/>
            </w:pPr>
            <w:r>
              <w:rPr/>
              <w:t>​</w:t>
            </w:r>
          </w:p>
        </w:tc>
        <w:tc>
          <w:tcPr>
            <w:tcW w:w="29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4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9,136</w:t>
            </w:r>
          </w:p>
        </w:tc>
      </w:tr>
      <w:tr>
        <w:trPr/>
        <w:tc>
          <w:tcPr>
            <w:tcW w:w="67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Commitments and contingencies (Note 9)</w:t>
            </w:r>
          </w:p>
        </w:tc>
        <w:tc>
          <w:tcPr>
            <w:tcW w:w="326"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pPr>
            <w:r>
              <w:rPr/>
              <w:t> </w:t>
            </w:r>
          </w:p>
        </w:tc>
        <w:tc>
          <w:tcPr>
            <w:tcW w:w="100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97" w:type="dxa"/>
            <w:tcBorders/>
            <w:vAlign w:val="center"/>
          </w:tcPr>
          <w:p>
            <w:pPr>
              <w:pStyle w:val="TableContents"/>
              <w:bidi w:val="0"/>
              <w:spacing w:before="0" w:after="0"/>
              <w:ind w:left="0" w:right="0" w:hanging="0"/>
              <w:jc w:val="left"/>
              <w:rPr/>
            </w:pPr>
            <w:r>
              <w:rPr/>
              <w:t> </w:t>
            </w:r>
          </w:p>
        </w:tc>
        <w:tc>
          <w:tcPr>
            <w:tcW w:w="1249" w:type="dxa"/>
            <w:tcBorders/>
            <w:vAlign w:val="center"/>
          </w:tcPr>
          <w:p>
            <w:pPr>
              <w:pStyle w:val="TableContents"/>
              <w:bidi w:val="0"/>
              <w:spacing w:before="0" w:after="0"/>
              <w:ind w:left="0" w:right="0" w:hanging="0"/>
              <w:jc w:val="right"/>
              <w:rPr/>
            </w:pPr>
            <w:r>
              <w:rPr/>
              <w:t>​</w:t>
            </w:r>
          </w:p>
        </w:tc>
      </w:tr>
      <w:tr>
        <w:trPr/>
        <w:tc>
          <w:tcPr>
            <w:tcW w:w="674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Stockholders' equity</w:t>
            </w:r>
          </w:p>
        </w:tc>
        <w:tc>
          <w:tcPr>
            <w:tcW w:w="326"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pPr>
            <w:r>
              <w:rPr/>
              <w:t> </w:t>
            </w:r>
          </w:p>
        </w:tc>
        <w:tc>
          <w:tcPr>
            <w:tcW w:w="100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97" w:type="dxa"/>
            <w:tcBorders/>
            <w:shd w:fill="CCEEFF" w:val="clear"/>
            <w:vAlign w:val="center"/>
          </w:tcPr>
          <w:p>
            <w:pPr>
              <w:pStyle w:val="TableContents"/>
              <w:bidi w:val="0"/>
              <w:spacing w:before="0" w:after="0"/>
              <w:ind w:left="0" w:right="0" w:hanging="0"/>
              <w:jc w:val="left"/>
              <w:rPr/>
            </w:pPr>
            <w:r>
              <w:rPr/>
              <w:t> </w:t>
            </w:r>
          </w:p>
        </w:tc>
        <w:tc>
          <w:tcPr>
            <w:tcW w:w="1249" w:type="dxa"/>
            <w:tcBorders/>
            <w:shd w:fill="CCEEFF" w:val="clear"/>
            <w:vAlign w:val="center"/>
          </w:tcPr>
          <w:p>
            <w:pPr>
              <w:pStyle w:val="TableContents"/>
              <w:bidi w:val="0"/>
              <w:spacing w:before="0" w:after="0"/>
              <w:ind w:left="0" w:right="0" w:hanging="0"/>
              <w:jc w:val="right"/>
              <w:rPr/>
            </w:pPr>
            <w:r>
              <w:rPr/>
              <w:t>​</w:t>
            </w:r>
          </w:p>
        </w:tc>
      </w:tr>
      <w:tr>
        <w:trPr/>
        <w:tc>
          <w:tcPr>
            <w:tcW w:w="67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Class A common stock, $0.001 par value; 150,000,000 shares authorized; 28,213,378 and 28,207,330 shares </w:t>
            </w:r>
            <w:r>
              <w:rPr>
                <w:rFonts w:ascii="Times New Roman;Times;serif" w:hAnsi="Times New Roman;Times;serif"/>
                <w:b w:val="false"/>
                <w:i w:val="false"/>
                <w:caps w:val="false"/>
                <w:smallCaps w:val="false"/>
                <w:sz w:val="20"/>
              </w:rPr>
              <w:t>issued</w:t>
            </w:r>
            <w:r>
              <w:rPr>
                <w:rFonts w:ascii="Times New Roman;Times;serif" w:hAnsi="Times New Roman;Times;serif"/>
                <w:sz w:val="20"/>
              </w:rPr>
              <w:t xml:space="preserve"> and </w:t>
            </w:r>
            <w:r>
              <w:rPr>
                <w:rFonts w:ascii="Times New Roman;Times;serif" w:hAnsi="Times New Roman;Times;serif"/>
                <w:b w:val="false"/>
                <w:i w:val="false"/>
                <w:caps w:val="false"/>
                <w:smallCaps w:val="false"/>
                <w:sz w:val="20"/>
              </w:rPr>
              <w:t>outstanding</w:t>
            </w:r>
            <w:r>
              <w:rPr>
                <w:rFonts w:ascii="Times New Roman;Times;serif" w:hAnsi="Times New Roman;Times;serif"/>
                <w:sz w:val="20"/>
              </w:rPr>
              <w:t xml:space="preserve"> as of March 31, 2023 and December 31, 2022, respectively</w:t>
            </w:r>
          </w:p>
        </w:tc>
        <w:tc>
          <w:tcPr>
            <w:tcW w:w="326"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pPr>
            <w:r>
              <w:rPr/>
              <w:t> </w:t>
            </w:r>
          </w:p>
        </w:tc>
        <w:tc>
          <w:tcPr>
            <w:tcW w:w="100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w:t>
            </w:r>
          </w:p>
        </w:tc>
        <w:tc>
          <w:tcPr>
            <w:tcW w:w="326" w:type="dxa"/>
            <w:tcBorders/>
            <w:vAlign w:val="center"/>
          </w:tcPr>
          <w:p>
            <w:pPr>
              <w:pStyle w:val="TableContents"/>
              <w:bidi w:val="0"/>
              <w:spacing w:before="0" w:after="0"/>
              <w:ind w:left="0" w:right="0" w:hanging="0"/>
              <w:jc w:val="left"/>
              <w:rPr/>
            </w:pPr>
            <w:r>
              <w:rPr/>
              <w:t>​</w:t>
            </w:r>
          </w:p>
        </w:tc>
        <w:tc>
          <w:tcPr>
            <w:tcW w:w="297" w:type="dxa"/>
            <w:tcBorders/>
            <w:vAlign w:val="center"/>
          </w:tcPr>
          <w:p>
            <w:pPr>
              <w:pStyle w:val="TableContents"/>
              <w:bidi w:val="0"/>
              <w:spacing w:before="0" w:after="0"/>
              <w:ind w:left="0" w:right="0" w:hanging="0"/>
              <w:jc w:val="left"/>
              <w:rPr/>
            </w:pPr>
            <w:r>
              <w:rPr/>
              <w:t> </w:t>
            </w:r>
          </w:p>
        </w:tc>
        <w:tc>
          <w:tcPr>
            <w:tcW w:w="124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w:t>
            </w:r>
          </w:p>
        </w:tc>
      </w:tr>
      <w:tr>
        <w:trPr/>
        <w:tc>
          <w:tcPr>
            <w:tcW w:w="67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Additional paid-in capital</w:t>
            </w:r>
          </w:p>
        </w:tc>
        <w:tc>
          <w:tcPr>
            <w:tcW w:w="326"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pPr>
            <w:r>
              <w:rPr/>
              <w:t> </w:t>
            </w:r>
          </w:p>
        </w:tc>
        <w:tc>
          <w:tcPr>
            <w:tcW w:w="100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160,023</w:t>
            </w:r>
          </w:p>
        </w:tc>
        <w:tc>
          <w:tcPr>
            <w:tcW w:w="326" w:type="dxa"/>
            <w:tcBorders/>
            <w:shd w:fill="CCEEFF" w:val="clear"/>
            <w:vAlign w:val="center"/>
          </w:tcPr>
          <w:p>
            <w:pPr>
              <w:pStyle w:val="TableContents"/>
              <w:bidi w:val="0"/>
              <w:spacing w:before="0" w:after="0"/>
              <w:ind w:left="0" w:right="0" w:hanging="0"/>
              <w:jc w:val="left"/>
              <w:rPr/>
            </w:pPr>
            <w:r>
              <w:rPr/>
              <w:t>​</w:t>
            </w:r>
          </w:p>
        </w:tc>
        <w:tc>
          <w:tcPr>
            <w:tcW w:w="297" w:type="dxa"/>
            <w:tcBorders/>
            <w:shd w:fill="CCEEFF" w:val="clear"/>
            <w:vAlign w:val="center"/>
          </w:tcPr>
          <w:p>
            <w:pPr>
              <w:pStyle w:val="TableContents"/>
              <w:bidi w:val="0"/>
              <w:spacing w:before="0" w:after="0"/>
              <w:ind w:left="0" w:right="0" w:hanging="0"/>
              <w:jc w:val="left"/>
              <w:rPr/>
            </w:pPr>
            <w:r>
              <w:rPr/>
              <w:t> </w:t>
            </w:r>
          </w:p>
        </w:tc>
        <w:tc>
          <w:tcPr>
            <w:tcW w:w="124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159,618</w:t>
            </w:r>
          </w:p>
        </w:tc>
      </w:tr>
      <w:tr>
        <w:trPr/>
        <w:tc>
          <w:tcPr>
            <w:tcW w:w="67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Accumulated deficit</w:t>
            </w:r>
          </w:p>
        </w:tc>
        <w:tc>
          <w:tcPr>
            <w:tcW w:w="326"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pPr>
            <w:r>
              <w:rPr/>
              <w:t> </w:t>
            </w:r>
          </w:p>
        </w:tc>
        <w:tc>
          <w:tcPr>
            <w:tcW w:w="100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(153,601)</w:t>
            </w:r>
          </w:p>
        </w:tc>
        <w:tc>
          <w:tcPr>
            <w:tcW w:w="326" w:type="dxa"/>
            <w:tcBorders/>
            <w:vAlign w:val="center"/>
          </w:tcPr>
          <w:p>
            <w:pPr>
              <w:pStyle w:val="TableContents"/>
              <w:bidi w:val="0"/>
              <w:spacing w:before="0" w:after="0"/>
              <w:ind w:left="0" w:right="0" w:hanging="0"/>
              <w:jc w:val="left"/>
              <w:rPr/>
            </w:pPr>
            <w:r>
              <w:rPr/>
              <w:t>​</w:t>
            </w:r>
          </w:p>
        </w:tc>
        <w:tc>
          <w:tcPr>
            <w:tcW w:w="297" w:type="dxa"/>
            <w:tcBorders/>
            <w:vAlign w:val="center"/>
          </w:tcPr>
          <w:p>
            <w:pPr>
              <w:pStyle w:val="TableContents"/>
              <w:bidi w:val="0"/>
              <w:spacing w:before="0" w:after="0"/>
              <w:ind w:left="0" w:right="0" w:hanging="0"/>
              <w:jc w:val="left"/>
              <w:rPr/>
            </w:pPr>
            <w:r>
              <w:rPr/>
              <w:t> </w:t>
            </w:r>
          </w:p>
        </w:tc>
        <w:tc>
          <w:tcPr>
            <w:tcW w:w="124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(151,107)</w:t>
            </w:r>
          </w:p>
        </w:tc>
      </w:tr>
      <w:tr>
        <w:trPr/>
        <w:tc>
          <w:tcPr>
            <w:tcW w:w="67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Accumulated other comprehensive loss</w:t>
            </w:r>
          </w:p>
        </w:tc>
        <w:tc>
          <w:tcPr>
            <w:tcW w:w="326" w:type="dxa"/>
            <w:tcBorders/>
            <w:shd w:fill="CCEEFF" w:val="clear"/>
            <w:vAlign w:val="center"/>
          </w:tcPr>
          <w:p>
            <w:pPr>
              <w:pStyle w:val="TableContents"/>
              <w:bidi w:val="0"/>
              <w:spacing w:before="0" w:after="0"/>
              <w:ind w:left="0" w:right="0" w:hanging="0"/>
              <w:jc w:val="left"/>
              <w:rPr/>
            </w:pPr>
            <w:r>
              <w:rPr/>
              <w:t>​</w:t>
            </w:r>
          </w:p>
        </w:tc>
        <w:tc>
          <w:tcPr>
            <w:tcW w:w="25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0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(383)</w:t>
            </w:r>
          </w:p>
        </w:tc>
        <w:tc>
          <w:tcPr>
            <w:tcW w:w="326" w:type="dxa"/>
            <w:tcBorders/>
            <w:shd w:fill="CCEEFF" w:val="clear"/>
            <w:vAlign w:val="center"/>
          </w:tcPr>
          <w:p>
            <w:pPr>
              <w:pStyle w:val="TableContents"/>
              <w:bidi w:val="0"/>
              <w:spacing w:before="0" w:after="0"/>
              <w:ind w:left="0" w:right="0" w:hanging="0"/>
              <w:jc w:val="left"/>
              <w:rPr/>
            </w:pPr>
            <w:r>
              <w:rPr/>
              <w:t>​</w:t>
            </w:r>
          </w:p>
        </w:tc>
        <w:tc>
          <w:tcPr>
            <w:tcW w:w="29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4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(388)</w:t>
            </w:r>
          </w:p>
        </w:tc>
      </w:tr>
      <w:tr>
        <w:trPr/>
        <w:tc>
          <w:tcPr>
            <w:tcW w:w="67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stockholders' equity</w:t>
            </w:r>
          </w:p>
        </w:tc>
        <w:tc>
          <w:tcPr>
            <w:tcW w:w="326" w:type="dxa"/>
            <w:tcBorders/>
            <w:vAlign w:val="center"/>
          </w:tcPr>
          <w:p>
            <w:pPr>
              <w:pStyle w:val="TableContents"/>
              <w:bidi w:val="0"/>
              <w:spacing w:before="0" w:after="0"/>
              <w:ind w:left="0" w:right="0" w:hanging="0"/>
              <w:jc w:val="left"/>
              <w:rPr/>
            </w:pPr>
            <w:r>
              <w:rPr/>
              <w:t>​</w:t>
            </w:r>
          </w:p>
        </w:tc>
        <w:tc>
          <w:tcPr>
            <w:tcW w:w="25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0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6,067</w:t>
            </w:r>
          </w:p>
        </w:tc>
        <w:tc>
          <w:tcPr>
            <w:tcW w:w="326" w:type="dxa"/>
            <w:tcBorders/>
            <w:vAlign w:val="center"/>
          </w:tcPr>
          <w:p>
            <w:pPr>
              <w:pStyle w:val="TableContents"/>
              <w:bidi w:val="0"/>
              <w:spacing w:before="0" w:after="0"/>
              <w:ind w:left="0" w:right="0" w:hanging="0"/>
              <w:jc w:val="left"/>
              <w:rPr/>
            </w:pPr>
            <w:r>
              <w:rPr/>
              <w:t>​</w:t>
            </w:r>
          </w:p>
        </w:tc>
        <w:tc>
          <w:tcPr>
            <w:tcW w:w="297"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4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8,151</w:t>
            </w:r>
          </w:p>
        </w:tc>
      </w:tr>
      <w:tr>
        <w:trPr/>
        <w:tc>
          <w:tcPr>
            <w:tcW w:w="67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liabilities and stockholders' equity</w:t>
            </w:r>
          </w:p>
        </w:tc>
        <w:tc>
          <w:tcPr>
            <w:tcW w:w="326" w:type="dxa"/>
            <w:tcBorders/>
            <w:shd w:fill="CCEEFF" w:val="clear"/>
            <w:vAlign w:val="center"/>
          </w:tcPr>
          <w:p>
            <w:pPr>
              <w:pStyle w:val="TableContents"/>
              <w:bidi w:val="0"/>
              <w:spacing w:before="0" w:after="0"/>
              <w:ind w:left="0" w:right="0" w:hanging="0"/>
              <w:jc w:val="left"/>
              <w:rPr/>
            </w:pPr>
            <w:r>
              <w:rPr/>
              <w:t>​</w:t>
            </w:r>
          </w:p>
        </w:tc>
        <w:tc>
          <w:tcPr>
            <w:tcW w:w="25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0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13,755</w:t>
            </w:r>
          </w:p>
        </w:tc>
        <w:tc>
          <w:tcPr>
            <w:tcW w:w="326" w:type="dxa"/>
            <w:tcBorders/>
            <w:shd w:fill="CCEEFF" w:val="clear"/>
            <w:vAlign w:val="center"/>
          </w:tcPr>
          <w:p>
            <w:pPr>
              <w:pStyle w:val="TableContents"/>
              <w:bidi w:val="0"/>
              <w:spacing w:before="0" w:after="0"/>
              <w:ind w:left="0" w:right="0" w:hanging="0"/>
              <w:jc w:val="left"/>
              <w:rPr/>
            </w:pPr>
            <w:r>
              <w:rPr/>
              <w:t>​</w:t>
            </w:r>
          </w:p>
        </w:tc>
        <w:tc>
          <w:tcPr>
            <w:tcW w:w="29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49"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17,287</w:t>
            </w:r>
          </w:p>
        </w:tc>
      </w:tr>
    </w:tbl>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 unaudited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bookmarkStart w:id="130" w:name="_a8a15144_6217_4abe_9b85_9460a99e6437"/>
      <w:bookmarkEnd w:id="130"/>
      <w:r>
        <w:rPr>
          <w:rFonts w:ascii="Times New Roman;Times;serif" w:hAnsi="Times New Roman;Times;serif"/>
          <w:b/>
          <w:sz w:val="20"/>
        </w:rPr>
        <w:t>Helius Medical Technologies, Inc.</w:t>
      </w:r>
    </w:p>
    <w:p>
      <w:pPr>
        <w:pStyle w:val="TextBody"/>
        <w:bidi w:val="0"/>
        <w:spacing w:before="0" w:after="0"/>
        <w:ind w:left="0" w:right="0" w:hanging="0"/>
        <w:jc w:val="left"/>
        <w:rPr>
          <w:rFonts w:ascii="Times New Roman;Times;serif" w:hAnsi="Times New Roman;Times;serif"/>
          <w:b/>
          <w:sz w:val="20"/>
        </w:rPr>
      </w:pPr>
      <w:bookmarkStart w:id="131" w:name="StatementsofOperationsandComprehensi"/>
      <w:bookmarkEnd w:id="131"/>
      <w:r>
        <w:rPr>
          <w:rFonts w:ascii="Times New Roman;Times;serif" w:hAnsi="Times New Roman;Times;serif"/>
          <w:b/>
          <w:sz w:val="20"/>
        </w:rPr>
        <w:t>Unaudited Condensed Consolidated Statements of Operations and Comprehensive Loss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thousands, except share and per share data)</w:t>
      </w:r>
    </w:p>
    <w:p>
      <w:pPr>
        <w:pStyle w:val="TextBody"/>
        <w:bidi w:val="0"/>
        <w:spacing w:before="0" w:after="240"/>
        <w:ind w:left="0" w:right="0" w:hanging="0"/>
        <w:jc w:val="both"/>
        <w:rPr/>
      </w:pPr>
      <w:r>
        <w:rPr/>
        <w:t>​</w:t>
      </w:r>
    </w:p>
    <w:p>
      <w:pPr>
        <w:pStyle w:val="Normal"/>
        <w:bidi w:val="0"/>
        <w:spacing w:before="0" w:after="0"/>
        <w:jc w:val="left"/>
        <w:rPr>
          <w:sz w:val="4"/>
          <w:szCs w:val="4"/>
        </w:rPr>
      </w:pPr>
      <w:r>
        <w:rPr>
          <w:sz w:val="4"/>
          <w:szCs w:val="4"/>
        </w:rPr>
      </w:r>
      <w:bookmarkStart w:id="132" w:name="Tc_VZ4s6Eq0PEuxTUqGPzXPrQ_34_0"/>
      <w:bookmarkStart w:id="133" w:name="Tc_etx2cfVf0Um_sZSyNJcGpA_33_0"/>
      <w:bookmarkStart w:id="134" w:name="Tc_1AoWtGhP5EaQ08Lv4X5YaA_32_0"/>
      <w:bookmarkStart w:id="135" w:name="Tc_kkPixydaIE2NrwJWoGCm9w_31_5"/>
      <w:bookmarkStart w:id="136" w:name="Tc_aI6h44VCKkylN1lUNKMMbA_31_2"/>
      <w:bookmarkStart w:id="137" w:name="Tc_E4Z951puNEGCau9NZLghLA_31_0"/>
      <w:bookmarkStart w:id="138" w:name="Tc_UA4zswARIUW1Y7k7CkBBZQ_30_5"/>
      <w:bookmarkStart w:id="139" w:name="Tc_8zC4h4mftkqCMmUCQF7aTw_30_2"/>
      <w:bookmarkStart w:id="140" w:name="Tc_v8vGzgdNaE21grXL9nySpA_30_0"/>
      <w:bookmarkStart w:id="141" w:name="Tc_agDkoQeKa0uI4WhTwI34pg_29_0"/>
      <w:bookmarkStart w:id="142" w:name="Tc_k9zuHXUViUSTvGkstvmuiA_28_5"/>
      <w:bookmarkStart w:id="143" w:name="Tc_KL9maR4NQE2cxePLKAYumw_28_2"/>
      <w:bookmarkStart w:id="144" w:name="Tc_1XxzhYY9CUC7xgiyMy84_Q_28_0"/>
      <w:bookmarkStart w:id="145" w:name="Tc_x3RYq8imB0mxo_5HkF3Azw_27_0"/>
      <w:bookmarkStart w:id="146" w:name="Tc_qkyx5GuiwUadxKxXg07SVQ_26_0"/>
      <w:bookmarkStart w:id="147" w:name="Tc_EM9h8ox6mEOMsx_RqnOPFQ_25_0"/>
      <w:bookmarkStart w:id="148" w:name="Tc_EN03dxTU80ulFvHP17F0Nw_24_0"/>
      <w:bookmarkStart w:id="149" w:name="Tc_sxJh4sd6TUe9F_xkGy1qfQ_23_0"/>
      <w:bookmarkStart w:id="150" w:name="Tc_-KmscbzliESk_NcM2CvAaw_22_0"/>
      <w:bookmarkStart w:id="151" w:name="Tc_QoEfiWu-90iUPwjEiiTykQ_21_3"/>
      <w:bookmarkStart w:id="152" w:name="Tc_bPLYyfT9xkaFhw0_3WP8ug_21_0"/>
      <w:bookmarkStart w:id="153" w:name="Tc_8jz0Q-1rB0mxpVCghPJVCA_20_0"/>
      <w:bookmarkStart w:id="154" w:name="Tc_9LJfM6Pf-UqCkGDXC1n1rg_19_6"/>
      <w:bookmarkStart w:id="155" w:name="Tc_XspJZt-yvkORuzx5ecpjLQ_19_0"/>
      <w:bookmarkStart w:id="156" w:name="Tc_VbsGnmnIkk2DYLnNEUjwgQ_18_6"/>
      <w:bookmarkStart w:id="157" w:name="Tc_n280UtMZb0KJzUEVNf6rsg_18_0"/>
      <w:bookmarkStart w:id="158" w:name="Tc_2xaq-2TNL0u8jA_csAKF_A_17_0"/>
      <w:bookmarkStart w:id="159" w:name="Tc_9p8-Zi2IUE25KuQOTd-9qQ_16_0"/>
      <w:bookmarkStart w:id="160" w:name="Tc_eKht1B8-vkakhVdzvpDhWw_15_0"/>
      <w:bookmarkStart w:id="161" w:name="Tc_qK_6VqG7BUa1TXqXc-O-Ug_14_0"/>
      <w:bookmarkStart w:id="162" w:name="Tc__LzDzyPgQU-LVAXs5ukPDw_13_0"/>
      <w:bookmarkStart w:id="163" w:name="Tc_pCnJfmpFdUOfqaQYSYf49g_12_0"/>
      <w:bookmarkStart w:id="164" w:name="Tc_VtFp8bP5ykK4f0qFL2b6qA_11_0"/>
      <w:bookmarkStart w:id="165" w:name="Tc_SwQRKr0uj0Ky7AIxi4tUbQ_10_0"/>
      <w:bookmarkStart w:id="166" w:name="Tc_jJ-LDnHEXEa66fVqi14RTA_8_0"/>
      <w:bookmarkStart w:id="167" w:name="Tc_Om2Q2u1j7UeXtdPAbbggJQ_7_0"/>
      <w:bookmarkStart w:id="168" w:name="Tc_7_MTOmyEtUKbH8vUjZG1gw_6_5"/>
      <w:bookmarkStart w:id="169" w:name="Tc_mfK4DkBaWE6VTG1wH-DW4w_6_2"/>
      <w:bookmarkStart w:id="170" w:name="Tc_qQvISmGjwkKbd9DRE5hyPg_5_0"/>
      <w:bookmarkStart w:id="171" w:name="Tc_EpXEm-iF8kW-UgMhapDS1w_3_5"/>
      <w:bookmarkStart w:id="172" w:name="Tc_qAby1LaY8E6RUlPVh4pmBA_3_2"/>
      <w:bookmarkStart w:id="173" w:name="Tc_GBRWlKuONkyxfbIXxjcjXQ_2_2"/>
      <w:bookmarkStart w:id="174" w:name="Tc_NkEdmS-Jp0meZITgT0evkA_1_2"/>
      <w:bookmarkStart w:id="175" w:name="_c0fb68e0_bef2_477c_8aff_5e73db344d49"/>
      <w:bookmarkStart w:id="176" w:name="Tc_VZ4s6Eq0PEuxTUqGPzXPrQ_34_0"/>
      <w:bookmarkStart w:id="177" w:name="Tc_etx2cfVf0Um_sZSyNJcGpA_33_0"/>
      <w:bookmarkStart w:id="178" w:name="Tc_1AoWtGhP5EaQ08Lv4X5YaA_32_0"/>
      <w:bookmarkStart w:id="179" w:name="Tc_kkPixydaIE2NrwJWoGCm9w_31_5"/>
      <w:bookmarkStart w:id="180" w:name="Tc_aI6h44VCKkylN1lUNKMMbA_31_2"/>
      <w:bookmarkStart w:id="181" w:name="Tc_E4Z951puNEGCau9NZLghLA_31_0"/>
      <w:bookmarkStart w:id="182" w:name="Tc_UA4zswARIUW1Y7k7CkBBZQ_30_5"/>
      <w:bookmarkStart w:id="183" w:name="Tc_8zC4h4mftkqCMmUCQF7aTw_30_2"/>
      <w:bookmarkStart w:id="184" w:name="Tc_v8vGzgdNaE21grXL9nySpA_30_0"/>
      <w:bookmarkStart w:id="185" w:name="Tc_agDkoQeKa0uI4WhTwI34pg_29_0"/>
      <w:bookmarkStart w:id="186" w:name="Tc_k9zuHXUViUSTvGkstvmuiA_28_5"/>
      <w:bookmarkStart w:id="187" w:name="Tc_KL9maR4NQE2cxePLKAYumw_28_2"/>
      <w:bookmarkStart w:id="188" w:name="Tc_1XxzhYY9CUC7xgiyMy84_Q_28_0"/>
      <w:bookmarkStart w:id="189" w:name="Tc_x3RYq8imB0mxo_5HkF3Azw_27_0"/>
      <w:bookmarkStart w:id="190" w:name="Tc_qkyx5GuiwUadxKxXg07SVQ_26_0"/>
      <w:bookmarkStart w:id="191" w:name="Tc_EM9h8ox6mEOMsx_RqnOPFQ_25_0"/>
      <w:bookmarkStart w:id="192" w:name="Tc_EN03dxTU80ulFvHP17F0Nw_24_0"/>
      <w:bookmarkStart w:id="193" w:name="Tc_sxJh4sd6TUe9F_xkGy1qfQ_23_0"/>
      <w:bookmarkStart w:id="194" w:name="Tc_-KmscbzliESk_NcM2CvAaw_22_0"/>
      <w:bookmarkStart w:id="195" w:name="Tc_QoEfiWu-90iUPwjEiiTykQ_21_3"/>
      <w:bookmarkStart w:id="196" w:name="Tc_bPLYyfT9xkaFhw0_3WP8ug_21_0"/>
      <w:bookmarkStart w:id="197" w:name="Tc_8jz0Q-1rB0mxpVCghPJVCA_20_0"/>
      <w:bookmarkStart w:id="198" w:name="Tc_9LJfM6Pf-UqCkGDXC1n1rg_19_6"/>
      <w:bookmarkStart w:id="199" w:name="Tc_XspJZt-yvkORuzx5ecpjLQ_19_0"/>
      <w:bookmarkStart w:id="200" w:name="Tc_VbsGnmnIkk2DYLnNEUjwgQ_18_6"/>
      <w:bookmarkStart w:id="201" w:name="Tc_n280UtMZb0KJzUEVNf6rsg_18_0"/>
      <w:bookmarkStart w:id="202" w:name="Tc_2xaq-2TNL0u8jA_csAKF_A_17_0"/>
      <w:bookmarkStart w:id="203" w:name="Tc_9p8-Zi2IUE25KuQOTd-9qQ_16_0"/>
      <w:bookmarkStart w:id="204" w:name="Tc_eKht1B8-vkakhVdzvpDhWw_15_0"/>
      <w:bookmarkStart w:id="205" w:name="Tc_qK_6VqG7BUa1TXqXc-O-Ug_14_0"/>
      <w:bookmarkStart w:id="206" w:name="Tc__LzDzyPgQU-LVAXs5ukPDw_13_0"/>
      <w:bookmarkStart w:id="207" w:name="Tc_pCnJfmpFdUOfqaQYSYf49g_12_0"/>
      <w:bookmarkStart w:id="208" w:name="Tc_VtFp8bP5ykK4f0qFL2b6qA_11_0"/>
      <w:bookmarkStart w:id="209" w:name="Tc_SwQRKr0uj0Ky7AIxi4tUbQ_10_0"/>
      <w:bookmarkStart w:id="210" w:name="Tc_jJ-LDnHEXEa66fVqi14RTA_8_0"/>
      <w:bookmarkStart w:id="211" w:name="Tc_Om2Q2u1j7UeXtdPAbbggJQ_7_0"/>
      <w:bookmarkStart w:id="212" w:name="Tc_7_MTOmyEtUKbH8vUjZG1gw_6_5"/>
      <w:bookmarkStart w:id="213" w:name="Tc_mfK4DkBaWE6VTG1wH-DW4w_6_2"/>
      <w:bookmarkStart w:id="214" w:name="Tc_qQvISmGjwkKbd9DRE5hyPg_5_0"/>
      <w:bookmarkStart w:id="215" w:name="Tc_EpXEm-iF8kW-UgMhapDS1w_3_5"/>
      <w:bookmarkStart w:id="216" w:name="Tc_qAby1LaY8E6RUlPVh4pmBA_3_2"/>
      <w:bookmarkStart w:id="217" w:name="Tc_GBRWlKuONkyxfbIXxjcjXQ_2_2"/>
      <w:bookmarkStart w:id="218" w:name="Tc_NkEdmS-Jp0meZITgT0evkA_1_2"/>
      <w:bookmarkStart w:id="219" w:name="_c0fb68e0_bef2_477c_8aff_5e73db344d49"/>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p>
    <w:tbl>
      <w:tblPr>
        <w:tblW w:w="8127" w:type="dxa"/>
        <w:jc w:val="left"/>
        <w:tblInd w:w="0" w:type="dxa"/>
        <w:tblLayout w:type="fixed"/>
        <w:tblCellMar>
          <w:top w:w="0" w:type="dxa"/>
          <w:left w:w="0" w:type="dxa"/>
          <w:bottom w:w="0" w:type="dxa"/>
          <w:right w:w="0" w:type="dxa"/>
        </w:tblCellMar>
      </w:tblPr>
      <w:tblGrid>
        <w:gridCol w:w="4981"/>
        <w:gridCol w:w="326"/>
        <w:gridCol w:w="211"/>
        <w:gridCol w:w="1036"/>
        <w:gridCol w:w="326"/>
        <w:gridCol w:w="211"/>
        <w:gridCol w:w="1036"/>
      </w:tblGrid>
      <w:tr>
        <w:trPr/>
        <w:tc>
          <w:tcPr>
            <w:tcW w:w="49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3162935" cy="175260"/>
                      <wp:effectExtent l="0" t="0" r="0" b="0"/>
                      <wp:wrapNone/>
                      <wp:docPr id="11" name="Frame11"/>
                      <a:graphic xmlns:a="http://schemas.openxmlformats.org/drawingml/2006/main">
                        <a:graphicData uri="http://schemas.microsoft.com/office/word/2010/wordprocessingShape">
                          <wps:wsp>
                            <wps:cNvSpPr txBox="1"/>
                            <wps:spPr>
                              <a:xfrm>
                                <a:off x="0" y="0"/>
                                <a:ext cx="3162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207010" cy="175260"/>
                      <wp:effectExtent l="0" t="0" r="0" b="0"/>
                      <wp:wrapNone/>
                      <wp:docPr id="12" name="Frame1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133985" cy="175260"/>
                      <wp:effectExtent l="0" t="0" r="0" b="0"/>
                      <wp:wrapNone/>
                      <wp:docPr id="13" name="Frame1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57860" cy="175260"/>
                      <wp:effectExtent l="0" t="0" r="0" b="0"/>
                      <wp:wrapNone/>
                      <wp:docPr id="14" name="Frame14"/>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207010" cy="175260"/>
                      <wp:effectExtent l="0" t="0" r="0" b="0"/>
                      <wp:wrapNone/>
                      <wp:docPr id="15" name="Frame1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133985" cy="175260"/>
                      <wp:effectExtent l="0" t="0" r="0" b="0"/>
                      <wp:wrapNone/>
                      <wp:docPr id="16" name="Frame1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57860" cy="175260"/>
                      <wp:effectExtent l="0" t="0" r="0" b="0"/>
                      <wp:wrapNone/>
                      <wp:docPr id="17" name="Frame17"/>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9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82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r>
      <w:tr>
        <w:trPr/>
        <w:tc>
          <w:tcPr>
            <w:tcW w:w="49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82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r>
      <w:tr>
        <w:trPr/>
        <w:tc>
          <w:tcPr>
            <w:tcW w:w="49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49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r>
      <w:tr>
        <w:trPr/>
        <w:tc>
          <w:tcPr>
            <w:tcW w:w="498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Revenue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r>
      <w:tr>
        <w:trPr/>
        <w:tc>
          <w:tcPr>
            <w:tcW w:w="4981"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Product sales, net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183</w:t>
            </w:r>
          </w:p>
        </w:tc>
      </w:tr>
      <w:tr>
        <w:trPr/>
        <w:tc>
          <w:tcPr>
            <w:tcW w:w="49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revenue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r>
      <w:tr>
        <w:trPr/>
        <w:tc>
          <w:tcPr>
            <w:tcW w:w="49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revenue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190</w:t>
            </w:r>
          </w:p>
        </w:tc>
      </w:tr>
      <w:tr>
        <w:trPr/>
        <w:tc>
          <w:tcPr>
            <w:tcW w:w="4981"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w:t>
            </w:r>
          </w:p>
        </w:tc>
      </w:tr>
      <w:tr>
        <w:trPr/>
        <w:tc>
          <w:tcPr>
            <w:tcW w:w="49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profit (loss)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w:t>
            </w:r>
          </w:p>
        </w:tc>
      </w:tr>
      <w:tr>
        <w:trPr/>
        <w:tc>
          <w:tcPr>
            <w:tcW w:w="498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Operating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r>
      <w:tr>
        <w:trPr/>
        <w:tc>
          <w:tcPr>
            <w:tcW w:w="49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general and administrative expenses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2,874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2,819</w:t>
            </w:r>
          </w:p>
        </w:tc>
      </w:tr>
      <w:tr>
        <w:trPr/>
        <w:tc>
          <w:tcPr>
            <w:tcW w:w="49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1,764</w:t>
            </w:r>
          </w:p>
        </w:tc>
      </w:tr>
      <w:tr>
        <w:trPr/>
        <w:tc>
          <w:tcPr>
            <w:tcW w:w="49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expense</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w:t>
            </w:r>
          </w:p>
        </w:tc>
      </w:tr>
      <w:tr>
        <w:trPr/>
        <w:tc>
          <w:tcPr>
            <w:tcW w:w="49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operating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3,799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4,630</w:t>
            </w:r>
          </w:p>
        </w:tc>
      </w:tr>
      <w:tr>
        <w:trPr/>
        <w:tc>
          <w:tcPr>
            <w:tcW w:w="49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from operations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(3,810)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(4,564)</w:t>
            </w:r>
          </w:p>
        </w:tc>
      </w:tr>
      <w:tr>
        <w:trPr/>
        <w:tc>
          <w:tcPr>
            <w:tcW w:w="498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Nonoperating income (expense)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r>
      <w:tr>
        <w:trPr/>
        <w:tc>
          <w:tcPr>
            <w:tcW w:w="49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income (expense), net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pPr>
            <w:r>
              <w:rPr/>
              <w:t>—</w:t>
            </w:r>
          </w:p>
        </w:tc>
      </w:tr>
      <w:tr>
        <w:trPr/>
        <w:tc>
          <w:tcPr>
            <w:tcW w:w="49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fair value of derivative liability</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pPr>
            <w:r>
              <w:rPr/>
              <w:t>—</w:t>
            </w:r>
          </w:p>
        </w:tc>
      </w:tr>
      <w:tr>
        <w:trPr/>
        <w:tc>
          <w:tcPr>
            <w:tcW w:w="49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exchange (loss) gain</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217</w:t>
            </w:r>
          </w:p>
        </w:tc>
      </w:tr>
      <w:tr>
        <w:trPr/>
        <w:tc>
          <w:tcPr>
            <w:tcW w:w="49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income (expense), net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49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Nonoperating income (expense), net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1,316</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218</w:t>
            </w:r>
          </w:p>
        </w:tc>
      </w:tr>
      <w:tr>
        <w:trPr/>
        <w:tc>
          <w:tcPr>
            <w:tcW w:w="49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before provision for income taxes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(2,494)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(4,346)</w:t>
            </w:r>
          </w:p>
        </w:tc>
      </w:tr>
      <w:tr>
        <w:trPr/>
        <w:tc>
          <w:tcPr>
            <w:tcW w:w="49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Provision for income taxes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caps w:val="false"/>
                <w:smallCaps w:val="false"/>
              </w:rPr>
            </w:pPr>
            <w:r>
              <w:rPr>
                <w:caps w:val="false"/>
                <w:smallCaps w:val="false"/>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caps w:val="false"/>
                <w:smallCaps w:val="false"/>
              </w:rPr>
            </w:pPr>
            <w:r>
              <w:rPr>
                <w:caps w:val="false"/>
                <w:smallCaps w:val="false"/>
              </w:rPr>
              <w:t>—</w:t>
            </w:r>
          </w:p>
        </w:tc>
      </w:tr>
      <w:tr>
        <w:trPr/>
        <w:tc>
          <w:tcPr>
            <w:tcW w:w="49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(2,494)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(4,346)</w:t>
            </w:r>
          </w:p>
        </w:tc>
      </w:tr>
      <w:tr>
        <w:trPr/>
        <w:tc>
          <w:tcPr>
            <w:tcW w:w="498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Other comprehensive income (loss)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pPr>
            <w:r>
              <w:rPr/>
              <w:t>​</w:t>
            </w:r>
          </w:p>
        </w:tc>
      </w:tr>
      <w:tr>
        <w:trPr/>
        <w:tc>
          <w:tcPr>
            <w:tcW w:w="49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currency translation adjustments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(202)</w:t>
            </w:r>
          </w:p>
        </w:tc>
      </w:tr>
      <w:tr>
        <w:trPr/>
        <w:tc>
          <w:tcPr>
            <w:tcW w:w="49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Comprehensive loss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(2,489)</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(4,548)</w:t>
            </w:r>
          </w:p>
        </w:tc>
      </w:tr>
      <w:tr>
        <w:trPr/>
        <w:tc>
          <w:tcPr>
            <w:tcW w:w="498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Loss per share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r>
      <w:tr>
        <w:trPr/>
        <w:tc>
          <w:tcPr>
            <w:tcW w:w="49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(0.09)</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w:t>
            </w:r>
          </w:p>
        </w:tc>
      </w:tr>
      <w:tr>
        <w:trPr/>
        <w:tc>
          <w:tcPr>
            <w:tcW w:w="49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Diluted</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w:t>
            </w:r>
          </w:p>
        </w:tc>
      </w:tr>
      <w:tr>
        <w:trPr/>
        <w:tc>
          <w:tcPr>
            <w:tcW w:w="498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Weighted average number of common shares outstanding</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pPr>
            <w:r>
              <w:rPr/>
              <w:t>​</w:t>
            </w:r>
          </w:p>
        </w:tc>
      </w:tr>
      <w:tr>
        <w:trPr/>
        <w:tc>
          <w:tcPr>
            <w:tcW w:w="49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28,209,346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3,787,871</w:t>
            </w:r>
          </w:p>
        </w:tc>
      </w:tr>
      <w:tr>
        <w:trPr/>
        <w:tc>
          <w:tcPr>
            <w:tcW w:w="49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Diluted</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28,209,346</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3,787,871</w:t>
            </w:r>
          </w:p>
        </w:tc>
      </w:tr>
    </w:tbl>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 unaudited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bookmarkStart w:id="220" w:name="_9a7b70fb_1654_4a54_aef7_2b2e878e86c5"/>
      <w:bookmarkEnd w:id="220"/>
      <w:r>
        <w:rPr>
          <w:rFonts w:ascii="Times New Roman;Times;serif" w:hAnsi="Times New Roman;Times;serif"/>
          <w:b/>
          <w:sz w:val="20"/>
        </w:rPr>
        <w:t>Helius Medical Technologies, Inc.</w:t>
      </w:r>
    </w:p>
    <w:p>
      <w:pPr>
        <w:pStyle w:val="TextBody"/>
        <w:bidi w:val="0"/>
        <w:spacing w:before="0" w:after="0"/>
        <w:ind w:left="0" w:right="0" w:hanging="0"/>
        <w:jc w:val="left"/>
        <w:rPr>
          <w:rFonts w:ascii="Times New Roman;Times;serif" w:hAnsi="Times New Roman;Times;serif"/>
          <w:b/>
          <w:sz w:val="20"/>
        </w:rPr>
      </w:pPr>
      <w:bookmarkStart w:id="221" w:name="StatementsofStockholdersEquity"/>
      <w:bookmarkEnd w:id="221"/>
      <w:r>
        <w:rPr>
          <w:rFonts w:ascii="Times New Roman;Times;serif" w:hAnsi="Times New Roman;Times;serif"/>
          <w:b/>
          <w:sz w:val="20"/>
        </w:rPr>
        <w:t xml:space="preserve">Unaudited Condensed Consolidated Statements of Stockholders’ Equity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thousands, except share data)</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Normal"/>
        <w:bidi w:val="0"/>
        <w:spacing w:before="0" w:after="0"/>
        <w:jc w:val="left"/>
        <w:rPr>
          <w:sz w:val="4"/>
          <w:szCs w:val="4"/>
        </w:rPr>
      </w:pPr>
      <w:r>
        <w:rPr>
          <w:sz w:val="4"/>
          <w:szCs w:val="4"/>
        </w:rPr>
      </w:r>
      <w:bookmarkStart w:id="222" w:name="Tc_xLFPmqlhsUOD6MPj0GJ78w_10_16"/>
      <w:bookmarkStart w:id="223" w:name="Tc_E2DJEyoWOEqJPU26r-jHpg_10_13"/>
      <w:bookmarkStart w:id="224" w:name="Tc_f0BTC7Ycik68daidzTBsIw_10_10"/>
      <w:bookmarkStart w:id="225" w:name="Tc_hxarhat_YUS1bZ2fa-6Ejw_10_7"/>
      <w:bookmarkStart w:id="226" w:name="Tc_TfpTeSXBmkClpomnmXXTQw_10_4"/>
      <w:bookmarkStart w:id="227" w:name="Tc_Bt87bOidika5GpihpSK2Sg_10_0"/>
      <w:bookmarkStart w:id="228" w:name="Tc_C8WM70GuAE2vPtwtmBGrow_9_14"/>
      <w:bookmarkStart w:id="229" w:name="Tc_n3dJGsdTQUOXs9mUwCKMsg_9_8"/>
      <w:bookmarkStart w:id="230" w:name="Tc_sJA0Hl3sJkGEM0D2YKTLAQ_9_5"/>
      <w:bookmarkStart w:id="231" w:name="Tc__5rjKaYhAUWKuwIO7aU69Q_9_2"/>
      <w:bookmarkStart w:id="232" w:name="Tc_UICCClKv8UCwIRTnqLLY-g_9_0"/>
      <w:bookmarkStart w:id="233" w:name="Tc_o3gyrTAupkWGE2m2qeKK4g_8_11"/>
      <w:bookmarkStart w:id="234" w:name="Tc_UJXaZHvlKUuHqjuGNPMQpA_8_8"/>
      <w:bookmarkStart w:id="235" w:name="Tc_zHEaKA7dsUKpFteEi8JKdA_8_5"/>
      <w:bookmarkStart w:id="236" w:name="Tc_J-k1PPVFTUaot9FXYlBaiQ_8_2"/>
      <w:bookmarkStart w:id="237" w:name="Tc_PJm9VAq2a0ODSanJcJGj8w_8_0"/>
      <w:bookmarkStart w:id="238" w:name="Tc_oc6wi9KpPE6kdZ-lmV9h5w_7_14"/>
      <w:bookmarkStart w:id="239" w:name="Tc_0m4FlFE0zEGyts_Uph4gEQ_7_11"/>
      <w:bookmarkStart w:id="240" w:name="Tc_8va4hmAek0SoJGmNPb9a8w_7_5"/>
      <w:bookmarkStart w:id="241" w:name="Tc_eMnLyzuN0EahqYUqmlc2UA_7_2"/>
      <w:bookmarkStart w:id="242" w:name="Tc_8Gpbsz1MlE2BC2Xum4p66w_7_0"/>
      <w:bookmarkStart w:id="243" w:name="Tc_W8YexT0zCkycvvFqTJ9nFA_6_17"/>
      <w:bookmarkStart w:id="244" w:name="Tc_ISWsrgD6xkuugxPCIYKSSw_6_14"/>
      <w:bookmarkStart w:id="245" w:name="Tc_39RsmJk_5USIQKCHRXH-sw_6_11"/>
      <w:bookmarkStart w:id="246" w:name="Tc_XqpSU5MP00eTFLg5kJyptQ_6_8"/>
      <w:bookmarkStart w:id="247" w:name="Tc_VpGNdxuLSEWECO74tyyVHA_6_5"/>
      <w:bookmarkStart w:id="248" w:name="Tc_-dw-X2YjLkqVuA7IwhqD9w_6_0"/>
      <w:bookmarkStart w:id="249" w:name="Tc_nK3oSJNV50qn38F27S20EQ_5_16"/>
      <w:bookmarkStart w:id="250" w:name="Tc_xuC9C8sa1Ei6e3Vidur3nQ_5_13"/>
      <w:bookmarkStart w:id="251" w:name="Tc_AHseWhpjmEGf3KmgmHB0sQ_5_10"/>
      <w:bookmarkStart w:id="252" w:name="Tc_0xtW0hqwbEKgNWL-BFzXqQ_5_7"/>
      <w:bookmarkStart w:id="253" w:name="Tc_RptbEw44_U67d_fsNOEmig_5_4"/>
      <w:bookmarkStart w:id="254" w:name="Tc_L1lvIaBLokqQVtCMPiGZeA_5_0"/>
      <w:bookmarkStart w:id="255" w:name="Tc_-DevLjnQYk6ERXowuJUm6Q_4_16"/>
      <w:bookmarkStart w:id="256" w:name="Tc_ydNJSwmUK0Wf7Li0dzxLsA_4_13"/>
      <w:bookmarkStart w:id="257" w:name="Tc_MlcQ8C8DLkymdZKSyVkQRA_4_10"/>
      <w:bookmarkStart w:id="258" w:name="Tc_lWzOHpf9aU6ygc3jZssZzg_4_7"/>
      <w:bookmarkStart w:id="259" w:name="Tc_tDtRnJIkJEm-p-oYJu7cLg_4_4"/>
      <w:bookmarkStart w:id="260" w:name="Tc_YwEEViPDo0acH_HRvy4VRg_4_2"/>
      <w:bookmarkStart w:id="261" w:name="Tc_p81WWGSS6kaKaCO2zwwIWQ_3_13"/>
      <w:bookmarkStart w:id="262" w:name="Tc_LP_X-UPD9Ey0sXWXPVKqHw_3_10"/>
      <w:bookmarkStart w:id="263" w:name="Tc_yeVB613xJ0mI_QU5YR4F1Q_3_7"/>
      <w:bookmarkStart w:id="264" w:name="Tc_hzQhfqwlEkeEyjMuzF1CrA_3_2"/>
      <w:bookmarkStart w:id="265" w:name="Tc_AtpDxgQ6N0Ohphpb1ouBkg_2_13"/>
      <w:bookmarkStart w:id="266" w:name="Tc_6jb-wLhL30m_8Hd1_5Ba3A_2_7"/>
      <w:bookmarkStart w:id="267" w:name="Tc_btdTLXjW00qG1LA0CvSwwA_1_13"/>
      <w:bookmarkStart w:id="268" w:name="_89d3c19a_cc74_46b4_8f11_afd5eb750fe7"/>
      <w:bookmarkStart w:id="269" w:name="Tc_xLFPmqlhsUOD6MPj0GJ78w_10_16"/>
      <w:bookmarkStart w:id="270" w:name="Tc_E2DJEyoWOEqJPU26r-jHpg_10_13"/>
      <w:bookmarkStart w:id="271" w:name="Tc_f0BTC7Ycik68daidzTBsIw_10_10"/>
      <w:bookmarkStart w:id="272" w:name="Tc_hxarhat_YUS1bZ2fa-6Ejw_10_7"/>
      <w:bookmarkStart w:id="273" w:name="Tc_TfpTeSXBmkClpomnmXXTQw_10_4"/>
      <w:bookmarkStart w:id="274" w:name="Tc_Bt87bOidika5GpihpSK2Sg_10_0"/>
      <w:bookmarkStart w:id="275" w:name="Tc_C8WM70GuAE2vPtwtmBGrow_9_14"/>
      <w:bookmarkStart w:id="276" w:name="Tc_n3dJGsdTQUOXs9mUwCKMsg_9_8"/>
      <w:bookmarkStart w:id="277" w:name="Tc_sJA0Hl3sJkGEM0D2YKTLAQ_9_5"/>
      <w:bookmarkStart w:id="278" w:name="Tc__5rjKaYhAUWKuwIO7aU69Q_9_2"/>
      <w:bookmarkStart w:id="279" w:name="Tc_UICCClKv8UCwIRTnqLLY-g_9_0"/>
      <w:bookmarkStart w:id="280" w:name="Tc_o3gyrTAupkWGE2m2qeKK4g_8_11"/>
      <w:bookmarkStart w:id="281" w:name="Tc_UJXaZHvlKUuHqjuGNPMQpA_8_8"/>
      <w:bookmarkStart w:id="282" w:name="Tc_zHEaKA7dsUKpFteEi8JKdA_8_5"/>
      <w:bookmarkStart w:id="283" w:name="Tc_J-k1PPVFTUaot9FXYlBaiQ_8_2"/>
      <w:bookmarkStart w:id="284" w:name="Tc_PJm9VAq2a0ODSanJcJGj8w_8_0"/>
      <w:bookmarkStart w:id="285" w:name="Tc_oc6wi9KpPE6kdZ-lmV9h5w_7_14"/>
      <w:bookmarkStart w:id="286" w:name="Tc_0m4FlFE0zEGyts_Uph4gEQ_7_11"/>
      <w:bookmarkStart w:id="287" w:name="Tc_8va4hmAek0SoJGmNPb9a8w_7_5"/>
      <w:bookmarkStart w:id="288" w:name="Tc_eMnLyzuN0EahqYUqmlc2UA_7_2"/>
      <w:bookmarkStart w:id="289" w:name="Tc_8Gpbsz1MlE2BC2Xum4p66w_7_0"/>
      <w:bookmarkStart w:id="290" w:name="Tc_W8YexT0zCkycvvFqTJ9nFA_6_17"/>
      <w:bookmarkStart w:id="291" w:name="Tc_ISWsrgD6xkuugxPCIYKSSw_6_14"/>
      <w:bookmarkStart w:id="292" w:name="Tc_39RsmJk_5USIQKCHRXH-sw_6_11"/>
      <w:bookmarkStart w:id="293" w:name="Tc_XqpSU5MP00eTFLg5kJyptQ_6_8"/>
      <w:bookmarkStart w:id="294" w:name="Tc_VpGNdxuLSEWECO74tyyVHA_6_5"/>
      <w:bookmarkStart w:id="295" w:name="Tc_-dw-X2YjLkqVuA7IwhqD9w_6_0"/>
      <w:bookmarkStart w:id="296" w:name="Tc_nK3oSJNV50qn38F27S20EQ_5_16"/>
      <w:bookmarkStart w:id="297" w:name="Tc_xuC9C8sa1Ei6e3Vidur3nQ_5_13"/>
      <w:bookmarkStart w:id="298" w:name="Tc_AHseWhpjmEGf3KmgmHB0sQ_5_10"/>
      <w:bookmarkStart w:id="299" w:name="Tc_0xtW0hqwbEKgNWL-BFzXqQ_5_7"/>
      <w:bookmarkStart w:id="300" w:name="Tc_RptbEw44_U67d_fsNOEmig_5_4"/>
      <w:bookmarkStart w:id="301" w:name="Tc_L1lvIaBLokqQVtCMPiGZeA_5_0"/>
      <w:bookmarkStart w:id="302" w:name="Tc_-DevLjnQYk6ERXowuJUm6Q_4_16"/>
      <w:bookmarkStart w:id="303" w:name="Tc_ydNJSwmUK0Wf7Li0dzxLsA_4_13"/>
      <w:bookmarkStart w:id="304" w:name="Tc_MlcQ8C8DLkymdZKSyVkQRA_4_10"/>
      <w:bookmarkStart w:id="305" w:name="Tc_lWzOHpf9aU6ygc3jZssZzg_4_7"/>
      <w:bookmarkStart w:id="306" w:name="Tc_tDtRnJIkJEm-p-oYJu7cLg_4_4"/>
      <w:bookmarkStart w:id="307" w:name="Tc_YwEEViPDo0acH_HRvy4VRg_4_2"/>
      <w:bookmarkStart w:id="308" w:name="Tc_p81WWGSS6kaKaCO2zwwIWQ_3_13"/>
      <w:bookmarkStart w:id="309" w:name="Tc_LP_X-UPD9Ey0sXWXPVKqHw_3_10"/>
      <w:bookmarkStart w:id="310" w:name="Tc_yeVB613xJ0mI_QU5YR4F1Q_3_7"/>
      <w:bookmarkStart w:id="311" w:name="Tc_hzQhfqwlEkeEyjMuzF1CrA_3_2"/>
      <w:bookmarkStart w:id="312" w:name="Tc_AtpDxgQ6N0Ohphpb1ouBkg_2_13"/>
      <w:bookmarkStart w:id="313" w:name="Tc_6jb-wLhL30m_8Hd1_5Ba3A_2_7"/>
      <w:bookmarkStart w:id="314" w:name="Tc_btdTLXjW00qG1LA0CvSwwA_1_13"/>
      <w:bookmarkStart w:id="315" w:name="_89d3c19a_cc74_46b4_8f11_afd5eb750fe7"/>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p>
    <w:tbl>
      <w:tblPr>
        <w:tblW w:w="10205" w:type="dxa"/>
        <w:jc w:val="left"/>
        <w:tblInd w:w="0" w:type="dxa"/>
        <w:tblLayout w:type="fixed"/>
        <w:tblCellMar>
          <w:top w:w="0" w:type="dxa"/>
          <w:left w:w="0" w:type="dxa"/>
          <w:bottom w:w="0" w:type="dxa"/>
          <w:right w:w="0" w:type="dxa"/>
        </w:tblCellMar>
      </w:tblPr>
      <w:tblGrid>
        <w:gridCol w:w="2300"/>
        <w:gridCol w:w="326"/>
        <w:gridCol w:w="1036"/>
        <w:gridCol w:w="326"/>
        <w:gridCol w:w="261"/>
        <w:gridCol w:w="430"/>
        <w:gridCol w:w="326"/>
        <w:gridCol w:w="211"/>
        <w:gridCol w:w="781"/>
        <w:gridCol w:w="326"/>
        <w:gridCol w:w="211"/>
        <w:gridCol w:w="875"/>
        <w:gridCol w:w="326"/>
        <w:gridCol w:w="370"/>
        <w:gridCol w:w="846"/>
        <w:gridCol w:w="326"/>
        <w:gridCol w:w="211"/>
        <w:gridCol w:w="717"/>
      </w:tblGrid>
      <w:tr>
        <w:trPr/>
        <w:tc>
          <w:tcPr>
            <w:tcW w:w="23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1460500" cy="175260"/>
                      <wp:effectExtent l="0" t="0" r="0" b="0"/>
                      <wp:wrapNone/>
                      <wp:docPr id="18" name="Frame18"/>
                      <a:graphic xmlns:a="http://schemas.openxmlformats.org/drawingml/2006/main">
                        <a:graphicData uri="http://schemas.microsoft.com/office/word/2010/wordprocessingShape">
                          <wps:wsp>
                            <wps:cNvSpPr txBox="1"/>
                            <wps:spPr>
                              <a:xfrm>
                                <a:off x="0" y="0"/>
                                <a:ext cx="14605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207010" cy="175260"/>
                      <wp:effectExtent l="0" t="0" r="0" b="0"/>
                      <wp:wrapNone/>
                      <wp:docPr id="19" name="Frame1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57860" cy="175260"/>
                      <wp:effectExtent l="0" t="0" r="0" b="0"/>
                      <wp:wrapNone/>
                      <wp:docPr id="20" name="Frame20"/>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207010" cy="175260"/>
                      <wp:effectExtent l="0" t="0" r="0" b="0"/>
                      <wp:wrapNone/>
                      <wp:docPr id="21" name="Frame2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165735" cy="175260"/>
                      <wp:effectExtent l="0" t="0" r="0" b="0"/>
                      <wp:wrapNone/>
                      <wp:docPr id="22" name="Frame22"/>
                      <a:graphic xmlns:a="http://schemas.openxmlformats.org/drawingml/2006/main">
                        <a:graphicData uri="http://schemas.microsoft.com/office/word/2010/wordprocessingShape">
                          <wps:wsp>
                            <wps:cNvSpPr txBox="1"/>
                            <wps:spPr>
                              <a:xfrm>
                                <a:off x="0" y="0"/>
                                <a:ext cx="165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273050" cy="175260"/>
                      <wp:effectExtent l="0" t="0" r="0" b="0"/>
                      <wp:wrapNone/>
                      <wp:docPr id="23" name="Frame23"/>
                      <a:graphic xmlns:a="http://schemas.openxmlformats.org/drawingml/2006/main">
                        <a:graphicData uri="http://schemas.microsoft.com/office/word/2010/wordprocessingShape">
                          <wps:wsp>
                            <wps:cNvSpPr txBox="1"/>
                            <wps:spPr>
                              <a:xfrm>
                                <a:off x="0" y="0"/>
                                <a:ext cx="2730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207010" cy="175260"/>
                      <wp:effectExtent l="0" t="0" r="0" b="0"/>
                      <wp:wrapNone/>
                      <wp:docPr id="24" name="Frame2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133985" cy="175260"/>
                      <wp:effectExtent l="0" t="0" r="0" b="0"/>
                      <wp:wrapNone/>
                      <wp:docPr id="25" name="Frame2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495935" cy="175260"/>
                      <wp:effectExtent l="0" t="0" r="0" b="0"/>
                      <wp:wrapNone/>
                      <wp:docPr id="26" name="Frame26"/>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207010" cy="175260"/>
                      <wp:effectExtent l="0" t="0" r="0" b="0"/>
                      <wp:wrapNone/>
                      <wp:docPr id="27" name="Frame2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133985" cy="175260"/>
                      <wp:effectExtent l="0" t="0" r="0" b="0"/>
                      <wp:wrapNone/>
                      <wp:docPr id="28" name="Frame2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555625" cy="175260"/>
                      <wp:effectExtent l="0" t="0" r="0" b="0"/>
                      <wp:wrapNone/>
                      <wp:docPr id="29" name="Frame29"/>
                      <a:graphic xmlns:a="http://schemas.openxmlformats.org/drawingml/2006/main">
                        <a:graphicData uri="http://schemas.microsoft.com/office/word/2010/wordprocessingShape">
                          <wps:wsp>
                            <wps:cNvSpPr txBox="1"/>
                            <wps:spPr>
                              <a:xfrm>
                                <a:off x="0" y="0"/>
                                <a:ext cx="5556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207010" cy="175260"/>
                      <wp:effectExtent l="0" t="0" r="0" b="0"/>
                      <wp:wrapNone/>
                      <wp:docPr id="30" name="Frame3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234950" cy="175260"/>
                      <wp:effectExtent l="0" t="0" r="0" b="0"/>
                      <wp:wrapNone/>
                      <wp:docPr id="31" name="Frame31"/>
                      <a:graphic xmlns:a="http://schemas.openxmlformats.org/drawingml/2006/main">
                        <a:graphicData uri="http://schemas.microsoft.com/office/word/2010/wordprocessingShape">
                          <wps:wsp>
                            <wps:cNvSpPr txBox="1"/>
                            <wps:spPr>
                              <a:xfrm>
                                <a:off x="0" y="0"/>
                                <a:ext cx="2349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537210" cy="175260"/>
                      <wp:effectExtent l="0" t="0" r="0" b="0"/>
                      <wp:wrapNone/>
                      <wp:docPr id="32" name="Frame32"/>
                      <a:graphic xmlns:a="http://schemas.openxmlformats.org/drawingml/2006/main">
                        <a:graphicData uri="http://schemas.microsoft.com/office/word/2010/wordprocessingShape">
                          <wps:wsp>
                            <wps:cNvSpPr txBox="1"/>
                            <wps:spPr>
                              <a:xfrm>
                                <a:off x="0" y="0"/>
                                <a:ext cx="537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207010" cy="175260"/>
                      <wp:effectExtent l="0" t="0" r="0" b="0"/>
                      <wp:wrapNone/>
                      <wp:docPr id="33" name="Frame3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133985" cy="175260"/>
                      <wp:effectExtent l="0" t="0" r="0" b="0"/>
                      <wp:wrapNone/>
                      <wp:docPr id="34" name="Frame3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455295" cy="175260"/>
                      <wp:effectExtent l="0" t="0" r="0" b="0"/>
                      <wp:wrapNone/>
                      <wp:docPr id="35" name="Frame35"/>
                      <a:graphic xmlns:a="http://schemas.openxmlformats.org/drawingml/2006/main">
                        <a:graphicData uri="http://schemas.microsoft.com/office/word/2010/wordprocessingShape">
                          <wps:wsp>
                            <wps:cNvSpPr txBox="1"/>
                            <wps:spPr>
                              <a:xfrm>
                                <a:off x="0" y="0"/>
                                <a:ext cx="4552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30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61" w:type="dxa"/>
            <w:tcBorders/>
            <w:vAlign w:val="center"/>
          </w:tcPr>
          <w:p>
            <w:pPr>
              <w:pStyle w:val="TableContents"/>
              <w:bidi w:val="0"/>
              <w:spacing w:before="0" w:after="0"/>
              <w:ind w:left="0" w:right="0" w:hanging="0"/>
              <w:jc w:val="left"/>
              <w:rPr/>
            </w:pPr>
            <w:r>
              <w:rPr/>
              <w:t>​</w:t>
            </w:r>
          </w:p>
        </w:tc>
        <w:tc>
          <w:tcPr>
            <w:tcW w:w="430"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7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75"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17" w:type="dxa"/>
            <w:tcBorders/>
            <w:vAlign w:val="center"/>
          </w:tcPr>
          <w:p>
            <w:pPr>
              <w:pStyle w:val="TableContents"/>
              <w:bidi w:val="0"/>
              <w:spacing w:before="0" w:after="0"/>
              <w:ind w:left="0" w:right="0" w:hanging="0"/>
              <w:jc w:val="center"/>
              <w:rPr/>
            </w:pPr>
            <w:r>
              <w:rPr/>
              <w:t>​</w:t>
            </w:r>
          </w:p>
        </w:tc>
      </w:tr>
      <w:tr>
        <w:trPr/>
        <w:tc>
          <w:tcPr>
            <w:tcW w:w="230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053" w:type="dxa"/>
            <w:gridSpan w:val="4"/>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75"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17" w:type="dxa"/>
            <w:tcBorders/>
            <w:vAlign w:val="center"/>
          </w:tcPr>
          <w:p>
            <w:pPr>
              <w:pStyle w:val="TableContents"/>
              <w:bidi w:val="0"/>
              <w:spacing w:before="0" w:after="0"/>
              <w:ind w:left="0" w:right="0" w:hanging="0"/>
              <w:jc w:val="center"/>
              <w:rPr/>
            </w:pPr>
            <w:r>
              <w:rPr/>
              <w:t>​</w:t>
            </w:r>
          </w:p>
        </w:tc>
      </w:tr>
      <w:tr>
        <w:trPr/>
        <w:tc>
          <w:tcPr>
            <w:tcW w:w="230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053"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Class A Common Stock</w:t>
            </w:r>
          </w:p>
        </w:tc>
        <w:tc>
          <w:tcPr>
            <w:tcW w:w="32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Paid-In</w:t>
            </w:r>
          </w:p>
        </w:tc>
        <w:tc>
          <w:tcPr>
            <w:tcW w:w="326" w:type="dxa"/>
            <w:tcBorders/>
            <w:vAlign w:val="center"/>
          </w:tcPr>
          <w:p>
            <w:pPr>
              <w:pStyle w:val="TableContents"/>
              <w:bidi w:val="0"/>
              <w:spacing w:before="0" w:after="0"/>
              <w:ind w:left="0" w:right="0" w:hanging="0"/>
              <w:jc w:val="left"/>
              <w:rPr/>
            </w:pPr>
            <w:r>
              <w:rPr/>
              <w:t>​</w:t>
            </w:r>
          </w:p>
        </w:tc>
        <w:tc>
          <w:tcPr>
            <w:tcW w:w="108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26" w:type="dxa"/>
            <w:tcBorders/>
            <w:vAlign w:val="center"/>
          </w:tcPr>
          <w:p>
            <w:pPr>
              <w:pStyle w:val="TableContents"/>
              <w:bidi w:val="0"/>
              <w:spacing w:before="0" w:after="0"/>
              <w:ind w:left="0" w:right="0" w:hanging="0"/>
              <w:jc w:val="left"/>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Comprehensive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17" w:type="dxa"/>
            <w:tcBorders/>
            <w:vAlign w:val="center"/>
          </w:tcPr>
          <w:p>
            <w:pPr>
              <w:pStyle w:val="TableContents"/>
              <w:bidi w:val="0"/>
              <w:spacing w:before="0" w:after="0"/>
              <w:ind w:left="0" w:right="0" w:hanging="0"/>
              <w:jc w:val="center"/>
              <w:rPr/>
            </w:pPr>
            <w:r>
              <w:rPr/>
              <w:t>​</w:t>
            </w:r>
          </w:p>
        </w:tc>
      </w:tr>
      <w:tr>
        <w:trPr/>
        <w:tc>
          <w:tcPr>
            <w:tcW w:w="230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0"/>
              <w:ind w:left="0" w:right="0" w:hanging="0"/>
              <w:jc w:val="left"/>
              <w:rPr/>
            </w:pPr>
            <w:r>
              <w:rPr/>
              <w:t>    </w:t>
            </w:r>
          </w:p>
        </w:tc>
        <w:tc>
          <w:tcPr>
            <w:tcW w:w="6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326" w:type="dxa"/>
            <w:tcBorders/>
            <w:vAlign w:val="center"/>
          </w:tcPr>
          <w:p>
            <w:pPr>
              <w:pStyle w:val="TableContents"/>
              <w:bidi w:val="0"/>
              <w:spacing w:before="0" w:after="0"/>
              <w:ind w:left="0" w:right="0" w:hanging="0"/>
              <w:jc w:val="left"/>
              <w:rPr/>
            </w:pPr>
            <w:r>
              <w:rPr/>
              <w:t>    </w:t>
            </w:r>
          </w:p>
        </w:tc>
        <w:tc>
          <w:tcPr>
            <w:tcW w:w="10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Deficit</w:t>
            </w:r>
          </w:p>
        </w:tc>
        <w:tc>
          <w:tcPr>
            <w:tcW w:w="326" w:type="dxa"/>
            <w:tcBorders/>
            <w:vAlign w:val="center"/>
          </w:tcPr>
          <w:p>
            <w:pPr>
              <w:pStyle w:val="TableContents"/>
              <w:bidi w:val="0"/>
              <w:spacing w:before="0" w:after="0"/>
              <w:ind w:left="0" w:right="0" w:hanging="0"/>
              <w:jc w:val="left"/>
              <w:rPr/>
            </w:pPr>
            <w:r>
              <w:rPr/>
              <w:t>    </w:t>
            </w:r>
          </w:p>
        </w:tc>
        <w:tc>
          <w:tcPr>
            <w:tcW w:w="12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Loss</w:t>
            </w:r>
          </w:p>
        </w:tc>
        <w:tc>
          <w:tcPr>
            <w:tcW w:w="326" w:type="dxa"/>
            <w:tcBorders/>
            <w:vAlign w:val="center"/>
          </w:tcPr>
          <w:p>
            <w:pPr>
              <w:pStyle w:val="TableContents"/>
              <w:bidi w:val="0"/>
              <w:spacing w:before="0" w:after="0"/>
              <w:ind w:left="0" w:right="0" w:hanging="0"/>
              <w:jc w:val="left"/>
              <w:rPr/>
            </w:pPr>
            <w:r>
              <w:rPr/>
              <w:t>    </w:t>
            </w:r>
          </w:p>
        </w:tc>
        <w:tc>
          <w:tcPr>
            <w:tcW w:w="92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300"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Balance as of December 31, 2022</w:t>
            </w:r>
          </w:p>
        </w:tc>
        <w:tc>
          <w:tcPr>
            <w:tcW w:w="32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28,207,330</w:t>
            </w:r>
          </w:p>
        </w:tc>
        <w:tc>
          <w:tcPr>
            <w:tcW w:w="326" w:type="dxa"/>
            <w:tcBorders/>
            <w:shd w:fill="CCEEFF" w:val="clear"/>
            <w:vAlign w:val="center"/>
          </w:tcPr>
          <w:p>
            <w:pPr>
              <w:pStyle w:val="TableContents"/>
              <w:bidi w:val="0"/>
              <w:spacing w:before="0" w:after="0"/>
              <w:ind w:left="0" w:right="0" w:hanging="0"/>
              <w:jc w:val="left"/>
              <w:rPr/>
            </w:pPr>
            <w:r>
              <w:rPr/>
              <w:t>​</w:t>
            </w:r>
          </w:p>
        </w:tc>
        <w:tc>
          <w:tcPr>
            <w:tcW w:w="2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3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159,618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(151,107)</w:t>
            </w:r>
          </w:p>
        </w:tc>
        <w:tc>
          <w:tcPr>
            <w:tcW w:w="326" w:type="dxa"/>
            <w:tcBorders/>
            <w:shd w:fill="CCEEFF" w:val="clear"/>
            <w:vAlign w:val="center"/>
          </w:tcPr>
          <w:p>
            <w:pPr>
              <w:pStyle w:val="TableContents"/>
              <w:bidi w:val="0"/>
              <w:spacing w:before="0" w:after="0"/>
              <w:ind w:left="0" w:right="0" w:hanging="0"/>
              <w:jc w:val="left"/>
              <w:rPr/>
            </w:pPr>
            <w:r>
              <w:rPr/>
              <w:t>​</w:t>
            </w:r>
          </w:p>
        </w:tc>
        <w:tc>
          <w:tcPr>
            <w:tcW w:w="37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1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8,151</w:t>
            </w:r>
          </w:p>
        </w:tc>
      </w:tr>
      <w:tr>
        <w:trPr/>
        <w:tc>
          <w:tcPr>
            <w:tcW w:w="230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Settlement of restricted stock units</w:t>
            </w:r>
          </w:p>
        </w:tc>
        <w:tc>
          <w:tcPr>
            <w:tcW w:w="32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6,048</w:t>
            </w:r>
          </w:p>
        </w:tc>
        <w:tc>
          <w:tcPr>
            <w:tcW w:w="326" w:type="dxa"/>
            <w:tcBorders/>
            <w:vAlign w:val="center"/>
          </w:tcPr>
          <w:p>
            <w:pPr>
              <w:pStyle w:val="TableContents"/>
              <w:bidi w:val="0"/>
              <w:spacing w:before="0" w:after="0"/>
              <w:ind w:left="0" w:right="0" w:hanging="0"/>
              <w:jc w:val="left"/>
              <w:rPr/>
            </w:pPr>
            <w:r>
              <w:rPr/>
              <w:t> </w:t>
            </w:r>
          </w:p>
        </w:tc>
        <w:tc>
          <w:tcPr>
            <w:tcW w:w="261" w:type="dxa"/>
            <w:tcBorders/>
            <w:vAlign w:val="center"/>
          </w:tcPr>
          <w:p>
            <w:pPr>
              <w:pStyle w:val="TableContents"/>
              <w:bidi w:val="0"/>
              <w:spacing w:before="0" w:after="0"/>
              <w:ind w:left="0" w:right="0" w:hanging="0"/>
              <w:jc w:val="left"/>
              <w:rPr/>
            </w:pPr>
            <w:r>
              <w:rPr/>
              <w:t>​</w:t>
            </w:r>
          </w:p>
        </w:tc>
        <w:tc>
          <w:tcPr>
            <w:tcW w:w="43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87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370" w:type="dxa"/>
            <w:tcBorders/>
            <w:vAlign w:val="center"/>
          </w:tcPr>
          <w:p>
            <w:pPr>
              <w:pStyle w:val="TableContents"/>
              <w:bidi w:val="0"/>
              <w:spacing w:before="0" w:after="0"/>
              <w:ind w:left="0" w:right="0" w:hanging="0"/>
              <w:jc w:val="left"/>
              <w:rPr/>
            </w:pPr>
            <w:r>
              <w:rPr/>
              <w:t>​</w:t>
            </w:r>
          </w:p>
        </w:tc>
        <w:tc>
          <w:tcPr>
            <w:tcW w:w="84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17" w:type="dxa"/>
            <w:tcBorders/>
            <w:vAlign w:val="center"/>
          </w:tcPr>
          <w:p>
            <w:pPr>
              <w:pStyle w:val="TableContents"/>
              <w:bidi w:val="0"/>
              <w:spacing w:before="0" w:after="0"/>
              <w:ind w:left="0" w:right="0" w:hanging="0"/>
              <w:jc w:val="right"/>
              <w:rPr/>
            </w:pPr>
            <w:r>
              <w:rPr/>
              <w:t>—</w:t>
            </w:r>
          </w:p>
        </w:tc>
      </w:tr>
      <w:tr>
        <w:trPr/>
        <w:tc>
          <w:tcPr>
            <w:tcW w:w="230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61" w:type="dxa"/>
            <w:tcBorders/>
            <w:shd w:fill="CCEEFF" w:val="clear"/>
            <w:vAlign w:val="center"/>
          </w:tcPr>
          <w:p>
            <w:pPr>
              <w:pStyle w:val="TableContents"/>
              <w:bidi w:val="0"/>
              <w:spacing w:before="0" w:after="0"/>
              <w:ind w:left="0" w:right="0" w:hanging="0"/>
              <w:jc w:val="left"/>
              <w:rPr/>
            </w:pPr>
            <w:r>
              <w:rPr/>
              <w:t>​</w:t>
            </w:r>
          </w:p>
        </w:tc>
        <w:tc>
          <w:tcPr>
            <w:tcW w:w="43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405</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87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370" w:type="dxa"/>
            <w:tcBorders/>
            <w:shd w:fill="CCEEFF" w:val="clear"/>
            <w:vAlign w:val="center"/>
          </w:tcPr>
          <w:p>
            <w:pPr>
              <w:pStyle w:val="TableContents"/>
              <w:bidi w:val="0"/>
              <w:spacing w:before="0" w:after="0"/>
              <w:ind w:left="0" w:right="0" w:hanging="0"/>
              <w:jc w:val="left"/>
              <w:rPr/>
            </w:pPr>
            <w:r>
              <w:rPr/>
              <w:t>​</w:t>
            </w:r>
          </w:p>
        </w:tc>
        <w:tc>
          <w:tcPr>
            <w:tcW w:w="84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1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405</w:t>
            </w:r>
          </w:p>
        </w:tc>
      </w:tr>
      <w:tr>
        <w:trPr/>
        <w:tc>
          <w:tcPr>
            <w:tcW w:w="230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comprehensive income</w:t>
            </w:r>
          </w:p>
        </w:tc>
        <w:tc>
          <w:tcPr>
            <w:tcW w:w="32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61" w:type="dxa"/>
            <w:tcBorders/>
            <w:vAlign w:val="center"/>
          </w:tcPr>
          <w:p>
            <w:pPr>
              <w:pStyle w:val="TableContents"/>
              <w:bidi w:val="0"/>
              <w:spacing w:before="0" w:after="0"/>
              <w:ind w:left="0" w:right="0" w:hanging="0"/>
              <w:jc w:val="left"/>
              <w:rPr/>
            </w:pPr>
            <w:r>
              <w:rPr/>
              <w:t>​</w:t>
            </w:r>
          </w:p>
        </w:tc>
        <w:tc>
          <w:tcPr>
            <w:tcW w:w="43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87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370" w:type="dxa"/>
            <w:tcBorders/>
            <w:vAlign w:val="center"/>
          </w:tcPr>
          <w:p>
            <w:pPr>
              <w:pStyle w:val="TableContents"/>
              <w:bidi w:val="0"/>
              <w:spacing w:before="0" w:after="0"/>
              <w:ind w:left="0" w:right="0" w:hanging="0"/>
              <w:jc w:val="left"/>
              <w:rPr/>
            </w:pPr>
            <w:r>
              <w:rPr/>
              <w:t>​</w:t>
            </w:r>
          </w:p>
        </w:tc>
        <w:tc>
          <w:tcPr>
            <w:tcW w:w="8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1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230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6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3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7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(2,494)</w:t>
            </w:r>
          </w:p>
        </w:tc>
        <w:tc>
          <w:tcPr>
            <w:tcW w:w="326" w:type="dxa"/>
            <w:tcBorders/>
            <w:shd w:fill="CCEEFF" w:val="clear"/>
            <w:vAlign w:val="center"/>
          </w:tcPr>
          <w:p>
            <w:pPr>
              <w:pStyle w:val="TableContents"/>
              <w:bidi w:val="0"/>
              <w:spacing w:before="0" w:after="0"/>
              <w:ind w:left="0" w:right="0" w:hanging="0"/>
              <w:jc w:val="left"/>
              <w:rPr/>
            </w:pPr>
            <w:r>
              <w:rPr/>
              <w:t> </w:t>
            </w:r>
          </w:p>
        </w:tc>
        <w:tc>
          <w:tcPr>
            <w:tcW w:w="37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1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(2,494)</w:t>
            </w:r>
          </w:p>
        </w:tc>
      </w:tr>
      <w:tr>
        <w:trPr/>
        <w:tc>
          <w:tcPr>
            <w:tcW w:w="230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Balance as of March 31, 2023</w:t>
            </w:r>
          </w:p>
        </w:tc>
        <w:tc>
          <w:tcPr>
            <w:tcW w:w="326" w:type="dxa"/>
            <w:tcBorders/>
            <w:vAlign w:val="center"/>
          </w:tcPr>
          <w:p>
            <w:pPr>
              <w:pStyle w:val="TableContents"/>
              <w:bidi w:val="0"/>
              <w:spacing w:before="0" w:after="0"/>
              <w:ind w:left="0" w:right="0" w:hanging="0"/>
              <w:jc w:val="left"/>
              <w:rPr/>
            </w:pPr>
            <w:r>
              <w:rPr/>
              <w:t> </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28,213,378</w:t>
            </w:r>
          </w:p>
        </w:tc>
        <w:tc>
          <w:tcPr>
            <w:tcW w:w="326" w:type="dxa"/>
            <w:tcBorders/>
            <w:vAlign w:val="center"/>
          </w:tcPr>
          <w:p>
            <w:pPr>
              <w:pStyle w:val="TableContents"/>
              <w:bidi w:val="0"/>
              <w:spacing w:before="0" w:after="0"/>
              <w:ind w:left="0" w:right="0" w:hanging="0"/>
              <w:jc w:val="left"/>
              <w:rPr/>
            </w:pPr>
            <w:r>
              <w:rPr/>
              <w:t>​</w:t>
            </w:r>
          </w:p>
        </w:tc>
        <w:tc>
          <w:tcPr>
            <w:tcW w:w="26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3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160,023</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(153,601)</w:t>
            </w:r>
          </w:p>
        </w:tc>
        <w:tc>
          <w:tcPr>
            <w:tcW w:w="326" w:type="dxa"/>
            <w:tcBorders/>
            <w:vAlign w:val="center"/>
          </w:tcPr>
          <w:p>
            <w:pPr>
              <w:pStyle w:val="TableContents"/>
              <w:bidi w:val="0"/>
              <w:spacing w:before="0" w:after="0"/>
              <w:ind w:left="0" w:right="0" w:hanging="0"/>
              <w:jc w:val="left"/>
              <w:rPr/>
            </w:pPr>
            <w:r>
              <w:rPr/>
              <w:t>​</w:t>
            </w:r>
          </w:p>
        </w:tc>
        <w:tc>
          <w:tcPr>
            <w:tcW w:w="37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(383)</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17" w:type="dxa"/>
            <w:tcBorders>
              <w:bottom w:val="double" w:sz="6" w:space="0" w:color="000000"/>
            </w:tcBorders>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6,067</w:t>
            </w:r>
          </w:p>
        </w:tc>
      </w:tr>
    </w:tbl>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316" w:name="Tc_p9bUc6yBlUCW1RAzIy_rTg_11_16"/>
      <w:bookmarkStart w:id="317" w:name="Tc_-59DTN-KE0e8YHXIZ-DOdw_11_13"/>
      <w:bookmarkStart w:id="318" w:name="Tc_hnP67O320kqv2QpDpbQPuQ_11_10"/>
      <w:bookmarkStart w:id="319" w:name="Tc_uLOz77wcRUepL119_ypeyw_11_7"/>
      <w:bookmarkStart w:id="320" w:name="Tc_jP9onh_OskyHKXScJvJ0og_11_4"/>
      <w:bookmarkStart w:id="321" w:name="Tc_yu35-YV-40KOVRSv_yPzVQ_11_0"/>
      <w:bookmarkStart w:id="322" w:name="Tc_zgv8Sn2ksUm5rRK6MaHKgQ_10_14"/>
      <w:bookmarkStart w:id="323" w:name="Tc_ZsZ9h5MLoUOnKgb-wVCKPA_10_8"/>
      <w:bookmarkStart w:id="324" w:name="Tc_OLEeeqebHESEDxk6oXYPJQ_10_5"/>
      <w:bookmarkStart w:id="325" w:name="Tc_rUXT4BkQmEqgXRaIQ2PQyw_10_2"/>
      <w:bookmarkStart w:id="326" w:name="Tc_10JoI9uLyEKzaU9J045YXQ_10_0"/>
      <w:bookmarkStart w:id="327" w:name="Tc_PIhVjwqIGUKQAAEdnw6zmg_9_11"/>
      <w:bookmarkStart w:id="328" w:name="Tc_qI4wyiq5R0OHtRfoMENUfA_9_8"/>
      <w:bookmarkStart w:id="329" w:name="Tc_kIod6fAtv0WS4TBhDM4DXw_9_5"/>
      <w:bookmarkStart w:id="330" w:name="Tc_rSmcm5_fG0u6trHdXijRmw_9_2"/>
      <w:bookmarkStart w:id="331" w:name="Tc_auUUb6NM4E2hSWtdSDGfIw_9_0"/>
      <w:bookmarkStart w:id="332" w:name="Tc_Xv-Cf5gZh0mLgoWxCBHOoA_8_14"/>
      <w:bookmarkStart w:id="333" w:name="Tc_NxRcBXlwakefMF0bgnAyUA_8_11"/>
      <w:bookmarkStart w:id="334" w:name="Tc_oUY227TEqUiO072smGu7VQ_8_5"/>
      <w:bookmarkStart w:id="335" w:name="Tc_r28mFgNaT02QBH13I8Zk2w_8_0"/>
      <w:bookmarkStart w:id="336" w:name="Tc_o3k9wJh7hUm4keyQPqU1Mg_7_14"/>
      <w:bookmarkStart w:id="337" w:name="Tc_yri4nXB4IUqgFdl9fDRIVg_7_11"/>
      <w:bookmarkStart w:id="338" w:name="Tc_22BdFKmlc0izRzMbYIpCnw_7_5"/>
      <w:bookmarkStart w:id="339" w:name="Tc_02mkbQwxu02QVA_FCopqiA_7_0"/>
      <w:bookmarkStart w:id="340" w:name="Tc_kycH1kLonU-5cp8HZM_ECw_6_17"/>
      <w:bookmarkStart w:id="341" w:name="Tc_oeVbVpzY-0Gd5yKmX3ThCA_6_14"/>
      <w:bookmarkStart w:id="342" w:name="Tc_JKPGcVqp5EiABbLhiPbEXA_6_11"/>
      <w:bookmarkStart w:id="343" w:name="Tc_ITjWmGFkKkWYAzqDBxJ0Lw_6_8"/>
      <w:bookmarkStart w:id="344" w:name="Tc_r8lchLxHSUGwobMie1PZUA_6_5"/>
      <w:bookmarkStart w:id="345" w:name="Tc_oGTGk24XykiJbcQ5e9l90A_6_0"/>
      <w:bookmarkStart w:id="346" w:name="Tc_jvCxXuD9Dk-_UAdfF4Jyyw_5_16"/>
      <w:bookmarkStart w:id="347" w:name="Tc_DLpBGeyPb0mt-7vO5duAGg_5_13"/>
      <w:bookmarkStart w:id="348" w:name="Tc_dKykr8nxME6cjxFKkSnB0Q_5_10"/>
      <w:bookmarkStart w:id="349" w:name="Tc_ddWAf7gppU-zMu1J-cRemg_5_7"/>
      <w:bookmarkStart w:id="350" w:name="Tc_iA-6YCskgUK17enPmk6ygA_5_4"/>
      <w:bookmarkStart w:id="351" w:name="Tc_cdSBYStglU6YfrpIi9BeCQ_5_0"/>
      <w:bookmarkStart w:id="352" w:name="Tc_YIIMkFicmUafMjBgVgpiAg_4_16"/>
      <w:bookmarkStart w:id="353" w:name="Tc_iWB2vK7u6E-seT3E-KAMXg_4_13"/>
      <w:bookmarkStart w:id="354" w:name="Tc_hCeMV8HFVk-IlB-Ii0dSGw_4_10"/>
      <w:bookmarkStart w:id="355" w:name="Tc_QNbHil4DKUG2BrWyYObEEg_4_7"/>
      <w:bookmarkStart w:id="356" w:name="Tc_hzNW02XyrUC9PagFC-qTag_4_4"/>
      <w:bookmarkStart w:id="357" w:name="Tc_Lv4N028c0EG2RgKkZ8meTA_4_2"/>
      <w:bookmarkStart w:id="358" w:name="Tc_5Rclgra0j0qNLaacPH8svA_3_13"/>
      <w:bookmarkStart w:id="359" w:name="Tc_FEF33cG_fkW52KwlmzZsKw_3_10"/>
      <w:bookmarkStart w:id="360" w:name="Tc_iqnGmKbFH0q8VLZluSnozQ_3_7"/>
      <w:bookmarkStart w:id="361" w:name="Tc_lY24bLLnZEmVu1SJtgNaZg_3_2"/>
      <w:bookmarkStart w:id="362" w:name="Tc_cxjboAwXHkSyRhZhlaDy6w_2_13"/>
      <w:bookmarkStart w:id="363" w:name="Tc_Azbc2zNxFUGu_MMYCLcUQg_2_7"/>
      <w:bookmarkStart w:id="364" w:name="Tc_xLXEJ8gDhkKnhYBL32srzA_1_13"/>
      <w:bookmarkStart w:id="365" w:name="_ad37c6c9_f3b7_4124_b8e6_bc294e84dc30"/>
      <w:bookmarkStart w:id="366" w:name="Tc_p9bUc6yBlUCW1RAzIy_rTg_11_16"/>
      <w:bookmarkStart w:id="367" w:name="Tc_-59DTN-KE0e8YHXIZ-DOdw_11_13"/>
      <w:bookmarkStart w:id="368" w:name="Tc_hnP67O320kqv2QpDpbQPuQ_11_10"/>
      <w:bookmarkStart w:id="369" w:name="Tc_uLOz77wcRUepL119_ypeyw_11_7"/>
      <w:bookmarkStart w:id="370" w:name="Tc_jP9onh_OskyHKXScJvJ0og_11_4"/>
      <w:bookmarkStart w:id="371" w:name="Tc_yu35-YV-40KOVRSv_yPzVQ_11_0"/>
      <w:bookmarkStart w:id="372" w:name="Tc_zgv8Sn2ksUm5rRK6MaHKgQ_10_14"/>
      <w:bookmarkStart w:id="373" w:name="Tc_ZsZ9h5MLoUOnKgb-wVCKPA_10_8"/>
      <w:bookmarkStart w:id="374" w:name="Tc_OLEeeqebHESEDxk6oXYPJQ_10_5"/>
      <w:bookmarkStart w:id="375" w:name="Tc_rUXT4BkQmEqgXRaIQ2PQyw_10_2"/>
      <w:bookmarkStart w:id="376" w:name="Tc_10JoI9uLyEKzaU9J045YXQ_10_0"/>
      <w:bookmarkStart w:id="377" w:name="Tc_PIhVjwqIGUKQAAEdnw6zmg_9_11"/>
      <w:bookmarkStart w:id="378" w:name="Tc_qI4wyiq5R0OHtRfoMENUfA_9_8"/>
      <w:bookmarkStart w:id="379" w:name="Tc_kIod6fAtv0WS4TBhDM4DXw_9_5"/>
      <w:bookmarkStart w:id="380" w:name="Tc_rSmcm5_fG0u6trHdXijRmw_9_2"/>
      <w:bookmarkStart w:id="381" w:name="Tc_auUUb6NM4E2hSWtdSDGfIw_9_0"/>
      <w:bookmarkStart w:id="382" w:name="Tc_Xv-Cf5gZh0mLgoWxCBHOoA_8_14"/>
      <w:bookmarkStart w:id="383" w:name="Tc_NxRcBXlwakefMF0bgnAyUA_8_11"/>
      <w:bookmarkStart w:id="384" w:name="Tc_oUY227TEqUiO072smGu7VQ_8_5"/>
      <w:bookmarkStart w:id="385" w:name="Tc_r28mFgNaT02QBH13I8Zk2w_8_0"/>
      <w:bookmarkStart w:id="386" w:name="Tc_o3k9wJh7hUm4keyQPqU1Mg_7_14"/>
      <w:bookmarkStart w:id="387" w:name="Tc_yri4nXB4IUqgFdl9fDRIVg_7_11"/>
      <w:bookmarkStart w:id="388" w:name="Tc_22BdFKmlc0izRzMbYIpCnw_7_5"/>
      <w:bookmarkStart w:id="389" w:name="Tc_02mkbQwxu02QVA_FCopqiA_7_0"/>
      <w:bookmarkStart w:id="390" w:name="Tc_kycH1kLonU-5cp8HZM_ECw_6_17"/>
      <w:bookmarkStart w:id="391" w:name="Tc_oeVbVpzY-0Gd5yKmX3ThCA_6_14"/>
      <w:bookmarkStart w:id="392" w:name="Tc_JKPGcVqp5EiABbLhiPbEXA_6_11"/>
      <w:bookmarkStart w:id="393" w:name="Tc_ITjWmGFkKkWYAzqDBxJ0Lw_6_8"/>
      <w:bookmarkStart w:id="394" w:name="Tc_r8lchLxHSUGwobMie1PZUA_6_5"/>
      <w:bookmarkStart w:id="395" w:name="Tc_oGTGk24XykiJbcQ5e9l90A_6_0"/>
      <w:bookmarkStart w:id="396" w:name="Tc_jvCxXuD9Dk-_UAdfF4Jyyw_5_16"/>
      <w:bookmarkStart w:id="397" w:name="Tc_DLpBGeyPb0mt-7vO5duAGg_5_13"/>
      <w:bookmarkStart w:id="398" w:name="Tc_dKykr8nxME6cjxFKkSnB0Q_5_10"/>
      <w:bookmarkStart w:id="399" w:name="Tc_ddWAf7gppU-zMu1J-cRemg_5_7"/>
      <w:bookmarkStart w:id="400" w:name="Tc_iA-6YCskgUK17enPmk6ygA_5_4"/>
      <w:bookmarkStart w:id="401" w:name="Tc_cdSBYStglU6YfrpIi9BeCQ_5_0"/>
      <w:bookmarkStart w:id="402" w:name="Tc_YIIMkFicmUafMjBgVgpiAg_4_16"/>
      <w:bookmarkStart w:id="403" w:name="Tc_iWB2vK7u6E-seT3E-KAMXg_4_13"/>
      <w:bookmarkStart w:id="404" w:name="Tc_hCeMV8HFVk-IlB-Ii0dSGw_4_10"/>
      <w:bookmarkStart w:id="405" w:name="Tc_QNbHil4DKUG2BrWyYObEEg_4_7"/>
      <w:bookmarkStart w:id="406" w:name="Tc_hzNW02XyrUC9PagFC-qTag_4_4"/>
      <w:bookmarkStart w:id="407" w:name="Tc_Lv4N028c0EG2RgKkZ8meTA_4_2"/>
      <w:bookmarkStart w:id="408" w:name="Tc_5Rclgra0j0qNLaacPH8svA_3_13"/>
      <w:bookmarkStart w:id="409" w:name="Tc_FEF33cG_fkW52KwlmzZsKw_3_10"/>
      <w:bookmarkStart w:id="410" w:name="Tc_iqnGmKbFH0q8VLZluSnozQ_3_7"/>
      <w:bookmarkStart w:id="411" w:name="Tc_lY24bLLnZEmVu1SJtgNaZg_3_2"/>
      <w:bookmarkStart w:id="412" w:name="Tc_cxjboAwXHkSyRhZhlaDy6w_2_13"/>
      <w:bookmarkStart w:id="413" w:name="Tc_Azbc2zNxFUGu_MMYCLcUQg_2_7"/>
      <w:bookmarkStart w:id="414" w:name="Tc_xLXEJ8gDhkKnhYBL32srzA_1_13"/>
      <w:bookmarkStart w:id="415" w:name="_ad37c6c9_f3b7_4124_b8e6_bc294e84dc30"/>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p>
    <w:tbl>
      <w:tblPr>
        <w:tblW w:w="10205" w:type="dxa"/>
        <w:jc w:val="left"/>
        <w:tblInd w:w="0" w:type="dxa"/>
        <w:tblLayout w:type="fixed"/>
        <w:tblCellMar>
          <w:top w:w="0" w:type="dxa"/>
          <w:left w:w="0" w:type="dxa"/>
          <w:bottom w:w="0" w:type="dxa"/>
          <w:right w:w="0" w:type="dxa"/>
        </w:tblCellMar>
      </w:tblPr>
      <w:tblGrid>
        <w:gridCol w:w="2387"/>
        <w:gridCol w:w="326"/>
        <w:gridCol w:w="931"/>
        <w:gridCol w:w="326"/>
        <w:gridCol w:w="261"/>
        <w:gridCol w:w="430"/>
        <w:gridCol w:w="326"/>
        <w:gridCol w:w="211"/>
        <w:gridCol w:w="781"/>
        <w:gridCol w:w="326"/>
        <w:gridCol w:w="211"/>
        <w:gridCol w:w="879"/>
        <w:gridCol w:w="326"/>
        <w:gridCol w:w="304"/>
        <w:gridCol w:w="912"/>
        <w:gridCol w:w="326"/>
        <w:gridCol w:w="211"/>
        <w:gridCol w:w="731"/>
      </w:tblGrid>
      <w:tr>
        <w:trPr/>
        <w:tc>
          <w:tcPr>
            <w:tcW w:w="238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61" w:type="dxa"/>
            <w:tcBorders/>
            <w:vAlign w:val="center"/>
          </w:tcPr>
          <w:p>
            <w:pPr>
              <w:pStyle w:val="TableContents"/>
              <w:bidi w:val="0"/>
              <w:spacing w:before="0" w:after="0"/>
              <w:ind w:left="0" w:right="0" w:hanging="0"/>
              <w:jc w:val="left"/>
              <w:rPr/>
            </w:pPr>
            <w:r>
              <w:rPr/>
              <w:t>​</w:t>
            </w:r>
          </w:p>
        </w:tc>
        <w:tc>
          <w:tcPr>
            <w:tcW w:w="43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7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04" w:type="dxa"/>
            <w:tcBorders/>
            <w:vAlign w:val="center"/>
          </w:tcPr>
          <w:p>
            <w:pPr>
              <w:pStyle w:val="TableContents"/>
              <w:bidi w:val="0"/>
              <w:spacing w:before="0" w:after="0"/>
              <w:ind w:left="0" w:right="0" w:hanging="0"/>
              <w:jc w:val="left"/>
              <w:rPr/>
            </w:pPr>
            <w:r>
              <w:rPr/>
              <w:t>​</w:t>
            </w:r>
          </w:p>
        </w:tc>
        <w:tc>
          <w:tcPr>
            <w:tcW w:w="91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31" w:type="dxa"/>
            <w:tcBorders/>
            <w:vAlign w:val="center"/>
          </w:tcPr>
          <w:p>
            <w:pPr>
              <w:pStyle w:val="TableContents"/>
              <w:bidi w:val="0"/>
              <w:spacing w:before="0" w:after="0"/>
              <w:ind w:left="0" w:right="0" w:hanging="0"/>
              <w:jc w:val="left"/>
              <w:rPr/>
            </w:pPr>
            <w:r>
              <w:rPr/>
              <w:t>​</w:t>
            </w:r>
          </w:p>
        </w:tc>
      </w:tr>
      <w:tr>
        <w:trPr/>
        <w:tc>
          <w:tcPr>
            <w:tcW w:w="238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48" w:type="dxa"/>
            <w:gridSpan w:val="4"/>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7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79"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31" w:type="dxa"/>
            <w:tcBorders/>
            <w:vAlign w:val="center"/>
          </w:tcPr>
          <w:p>
            <w:pPr>
              <w:pStyle w:val="TableContents"/>
              <w:bidi w:val="0"/>
              <w:spacing w:before="0" w:after="0"/>
              <w:ind w:left="0" w:right="0" w:hanging="0"/>
              <w:jc w:val="center"/>
              <w:rPr/>
            </w:pPr>
            <w:r>
              <w:rPr/>
              <w:t>​</w:t>
            </w:r>
          </w:p>
        </w:tc>
      </w:tr>
      <w:tr>
        <w:trPr/>
        <w:tc>
          <w:tcPr>
            <w:tcW w:w="238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48" w:type="dxa"/>
            <w:gridSpan w:val="4"/>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79"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216" w:type="dxa"/>
            <w:gridSpan w:val="2"/>
            <w:tcBorders/>
            <w:vAlign w:val="center"/>
          </w:tcPr>
          <w:p>
            <w:pPr>
              <w:pStyle w:val="TableContents"/>
              <w:bidi w:val="0"/>
              <w:spacing w:before="0" w:after="0"/>
              <w:ind w:left="0" w:right="0" w:hanging="0"/>
              <w:jc w:val="center"/>
              <w:rPr/>
            </w:pPr>
            <w:r>
              <w:rPr/>
              <w:t> </w:t>
            </w:r>
            <w:r>
              <w:rPr>
                <w:rFonts w:ascii="Times New Roman;Times;serif" w:hAnsi="Times New Roman;Times;serif"/>
                <w:b/>
                <w:sz w:val="16"/>
              </w:rPr>
              <w:t>Other</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31" w:type="dxa"/>
            <w:tcBorders/>
            <w:vAlign w:val="center"/>
          </w:tcPr>
          <w:p>
            <w:pPr>
              <w:pStyle w:val="TableContents"/>
              <w:bidi w:val="0"/>
              <w:spacing w:before="0" w:after="0"/>
              <w:ind w:left="0" w:right="0" w:hanging="0"/>
              <w:jc w:val="center"/>
              <w:rPr/>
            </w:pPr>
            <w:r>
              <w:rPr/>
              <w:t>​</w:t>
            </w:r>
          </w:p>
        </w:tc>
      </w:tr>
      <w:tr>
        <w:trPr/>
        <w:tc>
          <w:tcPr>
            <w:tcW w:w="238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48"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Class A Common Stock</w:t>
            </w:r>
          </w:p>
        </w:tc>
        <w:tc>
          <w:tcPr>
            <w:tcW w:w="32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Paid-In</w:t>
            </w:r>
          </w:p>
        </w:tc>
        <w:tc>
          <w:tcPr>
            <w:tcW w:w="326" w:type="dxa"/>
            <w:tcBorders/>
            <w:vAlign w:val="center"/>
          </w:tcPr>
          <w:p>
            <w:pPr>
              <w:pStyle w:val="TableContents"/>
              <w:bidi w:val="0"/>
              <w:spacing w:before="0" w:after="0"/>
              <w:ind w:left="0" w:right="0" w:hanging="0"/>
              <w:jc w:val="left"/>
              <w:rPr/>
            </w:pPr>
            <w:r>
              <w:rPr/>
              <w:t>​</w:t>
            </w:r>
          </w:p>
        </w:tc>
        <w:tc>
          <w:tcPr>
            <w:tcW w:w="109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26" w:type="dxa"/>
            <w:tcBorders/>
            <w:vAlign w:val="center"/>
          </w:tcPr>
          <w:p>
            <w:pPr>
              <w:pStyle w:val="TableContents"/>
              <w:bidi w:val="0"/>
              <w:spacing w:before="0" w:after="0"/>
              <w:ind w:left="0" w:right="0" w:hanging="0"/>
              <w:jc w:val="left"/>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Comprehensive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31" w:type="dxa"/>
            <w:tcBorders/>
            <w:vAlign w:val="center"/>
          </w:tcPr>
          <w:p>
            <w:pPr>
              <w:pStyle w:val="TableContents"/>
              <w:bidi w:val="0"/>
              <w:spacing w:before="0" w:after="0"/>
              <w:ind w:left="0" w:right="0" w:hanging="0"/>
              <w:jc w:val="center"/>
              <w:rPr/>
            </w:pPr>
            <w:r>
              <w:rPr/>
              <w:t>​</w:t>
            </w:r>
          </w:p>
        </w:tc>
      </w:tr>
      <w:tr>
        <w:trPr/>
        <w:tc>
          <w:tcPr>
            <w:tcW w:w="238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0"/>
              <w:ind w:left="0" w:right="0" w:hanging="0"/>
              <w:jc w:val="left"/>
              <w:rPr/>
            </w:pPr>
            <w:r>
              <w:rPr/>
              <w:t>    </w:t>
            </w:r>
          </w:p>
        </w:tc>
        <w:tc>
          <w:tcPr>
            <w:tcW w:w="6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326" w:type="dxa"/>
            <w:tcBorders/>
            <w:vAlign w:val="center"/>
          </w:tcPr>
          <w:p>
            <w:pPr>
              <w:pStyle w:val="TableContents"/>
              <w:bidi w:val="0"/>
              <w:spacing w:before="0" w:after="0"/>
              <w:ind w:left="0" w:right="0" w:hanging="0"/>
              <w:jc w:val="left"/>
              <w:rPr/>
            </w:pPr>
            <w:r>
              <w:rPr/>
              <w:t>    </w:t>
            </w:r>
          </w:p>
        </w:tc>
        <w:tc>
          <w:tcPr>
            <w:tcW w:w="109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Deficit</w:t>
            </w:r>
          </w:p>
        </w:tc>
        <w:tc>
          <w:tcPr>
            <w:tcW w:w="326" w:type="dxa"/>
            <w:tcBorders/>
            <w:vAlign w:val="center"/>
          </w:tcPr>
          <w:p>
            <w:pPr>
              <w:pStyle w:val="TableContents"/>
              <w:bidi w:val="0"/>
              <w:spacing w:before="0" w:after="0"/>
              <w:ind w:left="0" w:right="0" w:hanging="0"/>
              <w:jc w:val="left"/>
              <w:rPr/>
            </w:pPr>
            <w:r>
              <w:rPr/>
              <w:t>    </w:t>
            </w:r>
          </w:p>
        </w:tc>
        <w:tc>
          <w:tcPr>
            <w:tcW w:w="12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Loss</w:t>
            </w:r>
          </w:p>
        </w:tc>
        <w:tc>
          <w:tcPr>
            <w:tcW w:w="326" w:type="dxa"/>
            <w:tcBorders/>
            <w:vAlign w:val="center"/>
          </w:tcPr>
          <w:p>
            <w:pPr>
              <w:pStyle w:val="TableContents"/>
              <w:bidi w:val="0"/>
              <w:spacing w:before="0" w:after="0"/>
              <w:ind w:left="0" w:right="0" w:hanging="0"/>
              <w:jc w:val="left"/>
              <w:rPr/>
            </w:pPr>
            <w:r>
              <w:rPr/>
              <w:t>    </w:t>
            </w:r>
          </w:p>
        </w:tc>
        <w:tc>
          <w:tcPr>
            <w:tcW w:w="9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387"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Balance as of December 31, 2021</w:t>
            </w:r>
          </w:p>
        </w:tc>
        <w:tc>
          <w:tcPr>
            <w:tcW w:w="32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3,780,674</w:t>
            </w:r>
          </w:p>
        </w:tc>
        <w:tc>
          <w:tcPr>
            <w:tcW w:w="326" w:type="dxa"/>
            <w:tcBorders/>
            <w:shd w:fill="CCEEFF" w:val="clear"/>
            <w:vAlign w:val="center"/>
          </w:tcPr>
          <w:p>
            <w:pPr>
              <w:pStyle w:val="TableContents"/>
              <w:bidi w:val="0"/>
              <w:spacing w:before="0" w:after="0"/>
              <w:ind w:left="0" w:right="0" w:hanging="0"/>
              <w:jc w:val="left"/>
              <w:rPr/>
            </w:pPr>
            <w:r>
              <w:rPr/>
              <w:t>​</w:t>
            </w:r>
          </w:p>
        </w:tc>
        <w:tc>
          <w:tcPr>
            <w:tcW w:w="2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3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149,412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(137,035)</w:t>
            </w:r>
          </w:p>
        </w:tc>
        <w:tc>
          <w:tcPr>
            <w:tcW w:w="326" w:type="dxa"/>
            <w:tcBorders/>
            <w:shd w:fill="CCEEFF" w:val="clear"/>
            <w:vAlign w:val="center"/>
          </w:tcPr>
          <w:p>
            <w:pPr>
              <w:pStyle w:val="TableContents"/>
              <w:bidi w:val="0"/>
              <w:spacing w:before="0" w:after="0"/>
              <w:ind w:left="0" w:right="0" w:hanging="0"/>
              <w:jc w:val="left"/>
              <w:rPr/>
            </w:pPr>
            <w:r>
              <w:rPr/>
              <w:t>​</w:t>
            </w:r>
          </w:p>
        </w:tc>
        <w:tc>
          <w:tcPr>
            <w:tcW w:w="30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11,256</w:t>
            </w:r>
          </w:p>
        </w:tc>
      </w:tr>
      <w:tr>
        <w:trPr/>
        <w:tc>
          <w:tcPr>
            <w:tcW w:w="238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Settlement of restricted stock units</w:t>
            </w:r>
          </w:p>
        </w:tc>
        <w:tc>
          <w:tcPr>
            <w:tcW w:w="3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1,584</w:t>
            </w:r>
          </w:p>
        </w:tc>
        <w:tc>
          <w:tcPr>
            <w:tcW w:w="326" w:type="dxa"/>
            <w:tcBorders/>
            <w:vAlign w:val="center"/>
          </w:tcPr>
          <w:p>
            <w:pPr>
              <w:pStyle w:val="TableContents"/>
              <w:bidi w:val="0"/>
              <w:spacing w:before="0" w:after="0"/>
              <w:ind w:left="0" w:right="0" w:hanging="0"/>
              <w:jc w:val="left"/>
              <w:rPr/>
            </w:pPr>
            <w:r>
              <w:rPr/>
              <w:t> </w:t>
            </w:r>
          </w:p>
        </w:tc>
        <w:tc>
          <w:tcPr>
            <w:tcW w:w="261" w:type="dxa"/>
            <w:tcBorders/>
            <w:vAlign w:val="center"/>
          </w:tcPr>
          <w:p>
            <w:pPr>
              <w:pStyle w:val="TableContents"/>
              <w:bidi w:val="0"/>
              <w:spacing w:before="0" w:after="0"/>
              <w:ind w:left="0" w:right="0" w:hanging="0"/>
              <w:jc w:val="left"/>
              <w:rPr/>
            </w:pPr>
            <w:r>
              <w:rPr/>
              <w:t>​</w:t>
            </w:r>
          </w:p>
        </w:tc>
        <w:tc>
          <w:tcPr>
            <w:tcW w:w="43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87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304" w:type="dxa"/>
            <w:tcBorders/>
            <w:vAlign w:val="center"/>
          </w:tcPr>
          <w:p>
            <w:pPr>
              <w:pStyle w:val="TableContents"/>
              <w:bidi w:val="0"/>
              <w:spacing w:before="0" w:after="0"/>
              <w:ind w:left="0" w:right="0" w:hanging="0"/>
              <w:jc w:val="left"/>
              <w:rPr/>
            </w:pPr>
            <w:r>
              <w:rPr/>
              <w:t>​</w:t>
            </w:r>
          </w:p>
        </w:tc>
        <w:tc>
          <w:tcPr>
            <w:tcW w:w="91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31" w:type="dxa"/>
            <w:tcBorders/>
            <w:vAlign w:val="center"/>
          </w:tcPr>
          <w:p>
            <w:pPr>
              <w:pStyle w:val="TableContents"/>
              <w:bidi w:val="0"/>
              <w:spacing w:before="0" w:after="0"/>
              <w:ind w:left="0" w:right="0" w:hanging="0"/>
              <w:jc w:val="right"/>
              <w:rPr/>
            </w:pPr>
            <w:r>
              <w:rPr/>
              <w:t>—</w:t>
            </w:r>
          </w:p>
        </w:tc>
      </w:tr>
      <w:tr>
        <w:trPr/>
        <w:tc>
          <w:tcPr>
            <w:tcW w:w="238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 stock issued for services</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4,528</w:t>
            </w:r>
          </w:p>
        </w:tc>
        <w:tc>
          <w:tcPr>
            <w:tcW w:w="326" w:type="dxa"/>
            <w:tcBorders/>
            <w:shd w:fill="CCEEFF" w:val="clear"/>
            <w:vAlign w:val="center"/>
          </w:tcPr>
          <w:p>
            <w:pPr>
              <w:pStyle w:val="TableContents"/>
              <w:bidi w:val="0"/>
              <w:spacing w:before="0" w:after="0"/>
              <w:ind w:left="0" w:right="0" w:hanging="0"/>
              <w:jc w:val="left"/>
              <w:rPr/>
            </w:pPr>
            <w:r>
              <w:rPr/>
              <w:t> </w:t>
            </w:r>
          </w:p>
        </w:tc>
        <w:tc>
          <w:tcPr>
            <w:tcW w:w="261" w:type="dxa"/>
            <w:tcBorders/>
            <w:shd w:fill="CCEEFF" w:val="clear"/>
            <w:vAlign w:val="center"/>
          </w:tcPr>
          <w:p>
            <w:pPr>
              <w:pStyle w:val="TableContents"/>
              <w:bidi w:val="0"/>
              <w:spacing w:before="0" w:after="0"/>
              <w:ind w:left="0" w:right="0" w:hanging="0"/>
              <w:jc w:val="left"/>
              <w:rPr/>
            </w:pPr>
            <w:r>
              <w:rPr/>
              <w:t>​</w:t>
            </w:r>
          </w:p>
        </w:tc>
        <w:tc>
          <w:tcPr>
            <w:tcW w:w="43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87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304" w:type="dxa"/>
            <w:tcBorders/>
            <w:shd w:fill="CCEEFF" w:val="clear"/>
            <w:vAlign w:val="center"/>
          </w:tcPr>
          <w:p>
            <w:pPr>
              <w:pStyle w:val="TableContents"/>
              <w:bidi w:val="0"/>
              <w:spacing w:before="0" w:after="0"/>
              <w:ind w:left="0" w:right="0" w:hanging="0"/>
              <w:jc w:val="left"/>
              <w:rPr/>
            </w:pPr>
            <w:r>
              <w:rPr/>
              <w:t>​</w:t>
            </w:r>
          </w:p>
        </w:tc>
        <w:tc>
          <w:tcPr>
            <w:tcW w:w="91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r>
      <w:tr>
        <w:trPr/>
        <w:tc>
          <w:tcPr>
            <w:tcW w:w="238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w:t>
            </w:r>
          </w:p>
        </w:tc>
        <w:tc>
          <w:tcPr>
            <w:tcW w:w="3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8,011</w:t>
            </w:r>
          </w:p>
        </w:tc>
        <w:tc>
          <w:tcPr>
            <w:tcW w:w="326" w:type="dxa"/>
            <w:tcBorders/>
            <w:vAlign w:val="center"/>
          </w:tcPr>
          <w:p>
            <w:pPr>
              <w:pStyle w:val="TableContents"/>
              <w:bidi w:val="0"/>
              <w:spacing w:before="0" w:after="0"/>
              <w:ind w:left="0" w:right="0" w:hanging="0"/>
              <w:jc w:val="left"/>
              <w:rPr/>
            </w:pPr>
            <w:r>
              <w:rPr/>
              <w:t> </w:t>
            </w:r>
          </w:p>
        </w:tc>
        <w:tc>
          <w:tcPr>
            <w:tcW w:w="261" w:type="dxa"/>
            <w:tcBorders/>
            <w:vAlign w:val="center"/>
          </w:tcPr>
          <w:p>
            <w:pPr>
              <w:pStyle w:val="TableContents"/>
              <w:bidi w:val="0"/>
              <w:spacing w:before="0" w:after="0"/>
              <w:ind w:left="0" w:right="0" w:hanging="0"/>
              <w:jc w:val="left"/>
              <w:rPr/>
            </w:pPr>
            <w:r>
              <w:rPr/>
              <w:t>​</w:t>
            </w:r>
          </w:p>
        </w:tc>
        <w:tc>
          <w:tcPr>
            <w:tcW w:w="43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402</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87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304" w:type="dxa"/>
            <w:tcBorders/>
            <w:vAlign w:val="center"/>
          </w:tcPr>
          <w:p>
            <w:pPr>
              <w:pStyle w:val="TableContents"/>
              <w:bidi w:val="0"/>
              <w:spacing w:before="0" w:after="0"/>
              <w:ind w:left="0" w:right="0" w:hanging="0"/>
              <w:jc w:val="left"/>
              <w:rPr/>
            </w:pPr>
            <w:r>
              <w:rPr/>
              <w:t>​</w:t>
            </w:r>
          </w:p>
        </w:tc>
        <w:tc>
          <w:tcPr>
            <w:tcW w:w="91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402</w:t>
            </w:r>
          </w:p>
        </w:tc>
      </w:tr>
      <w:tr>
        <w:trPr/>
        <w:tc>
          <w:tcPr>
            <w:tcW w:w="238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comprehensive loss</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61" w:type="dxa"/>
            <w:tcBorders/>
            <w:shd w:fill="CCEEFF" w:val="clear"/>
            <w:vAlign w:val="center"/>
          </w:tcPr>
          <w:p>
            <w:pPr>
              <w:pStyle w:val="TableContents"/>
              <w:bidi w:val="0"/>
              <w:spacing w:before="0" w:after="0"/>
              <w:ind w:left="0" w:right="0" w:hanging="0"/>
              <w:jc w:val="left"/>
              <w:rPr/>
            </w:pPr>
            <w:r>
              <w:rPr/>
              <w:t>​</w:t>
            </w:r>
          </w:p>
        </w:tc>
        <w:tc>
          <w:tcPr>
            <w:tcW w:w="43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87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304" w:type="dxa"/>
            <w:tcBorders/>
            <w:shd w:fill="CCEEFF" w:val="clear"/>
            <w:vAlign w:val="center"/>
          </w:tcPr>
          <w:p>
            <w:pPr>
              <w:pStyle w:val="TableContents"/>
              <w:bidi w:val="0"/>
              <w:spacing w:before="0" w:after="0"/>
              <w:ind w:left="0" w:right="0" w:hanging="0"/>
              <w:jc w:val="left"/>
              <w:rPr/>
            </w:pPr>
            <w:r>
              <w:rPr/>
              <w:t>​</w:t>
            </w:r>
          </w:p>
        </w:tc>
        <w:tc>
          <w:tcPr>
            <w:tcW w:w="91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(202)</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(202)</w:t>
            </w:r>
          </w:p>
        </w:tc>
      </w:tr>
      <w:tr>
        <w:trPr/>
        <w:tc>
          <w:tcPr>
            <w:tcW w:w="238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326" w:type="dxa"/>
            <w:tcBorders/>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6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3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7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(4,346)</w:t>
            </w:r>
          </w:p>
        </w:tc>
        <w:tc>
          <w:tcPr>
            <w:tcW w:w="326" w:type="dxa"/>
            <w:tcBorders/>
            <w:vAlign w:val="center"/>
          </w:tcPr>
          <w:p>
            <w:pPr>
              <w:pStyle w:val="TableContents"/>
              <w:bidi w:val="0"/>
              <w:spacing w:before="0" w:after="0"/>
              <w:ind w:left="0" w:right="0" w:hanging="0"/>
              <w:jc w:val="left"/>
              <w:rPr/>
            </w:pPr>
            <w:r>
              <w:rPr/>
              <w:t> </w:t>
            </w:r>
          </w:p>
        </w:tc>
        <w:tc>
          <w:tcPr>
            <w:tcW w:w="30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1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(4,346)</w:t>
            </w:r>
          </w:p>
        </w:tc>
      </w:tr>
      <w:tr>
        <w:trPr/>
        <w:tc>
          <w:tcPr>
            <w:tcW w:w="2387"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Balance as of March 31, 2022</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3,794,797</w:t>
            </w:r>
          </w:p>
        </w:tc>
        <w:tc>
          <w:tcPr>
            <w:tcW w:w="326" w:type="dxa"/>
            <w:tcBorders/>
            <w:shd w:fill="CCEEFF" w:val="clear"/>
            <w:vAlign w:val="center"/>
          </w:tcPr>
          <w:p>
            <w:pPr>
              <w:pStyle w:val="TableContents"/>
              <w:bidi w:val="0"/>
              <w:spacing w:before="0" w:after="0"/>
              <w:ind w:left="0" w:right="0" w:hanging="0"/>
              <w:jc w:val="left"/>
              <w:rPr/>
            </w:pPr>
            <w:r>
              <w:rPr/>
              <w:t>​</w:t>
            </w:r>
          </w:p>
        </w:tc>
        <w:tc>
          <w:tcPr>
            <w:tcW w:w="26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3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149,834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(141,381)</w:t>
            </w:r>
          </w:p>
        </w:tc>
        <w:tc>
          <w:tcPr>
            <w:tcW w:w="326" w:type="dxa"/>
            <w:tcBorders/>
            <w:shd w:fill="CCEEFF" w:val="clear"/>
            <w:vAlign w:val="center"/>
          </w:tcPr>
          <w:p>
            <w:pPr>
              <w:pStyle w:val="TableContents"/>
              <w:bidi w:val="0"/>
              <w:spacing w:before="0" w:after="0"/>
              <w:ind w:left="0" w:right="0" w:hanging="0"/>
              <w:jc w:val="left"/>
              <w:rPr/>
            </w:pPr>
            <w:r>
              <w:rPr/>
              <w:t>​</w:t>
            </w:r>
          </w:p>
        </w:tc>
        <w:tc>
          <w:tcPr>
            <w:tcW w:w="30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1" w:type="dxa"/>
            <w:tcBorders>
              <w:bottom w:val="double" w:sz="6" w:space="0" w:color="000000"/>
            </w:tcBorders>
            <w:shd w:fill="CCEEFF" w:val="clear"/>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7,130</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 unaudited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bookmarkStart w:id="416" w:name="_d40902a9_1d98_48ce_81ed_d2117bda12ee"/>
      <w:bookmarkEnd w:id="416"/>
      <w:r>
        <w:rPr>
          <w:rFonts w:ascii="Times New Roman;Times;serif" w:hAnsi="Times New Roman;Times;serif"/>
          <w:b/>
          <w:sz w:val="20"/>
        </w:rPr>
        <w:t>Helius Medical Technologies, Inc.</w:t>
      </w:r>
    </w:p>
    <w:p>
      <w:pPr>
        <w:pStyle w:val="TextBody"/>
        <w:bidi w:val="0"/>
        <w:spacing w:before="0" w:after="0"/>
        <w:ind w:left="0" w:right="0" w:hanging="0"/>
        <w:jc w:val="left"/>
        <w:rPr>
          <w:rFonts w:ascii="Times New Roman;Times;serif" w:hAnsi="Times New Roman;Times;serif"/>
          <w:b/>
          <w:sz w:val="20"/>
        </w:rPr>
      </w:pPr>
      <w:bookmarkStart w:id="417" w:name="ConsolidatedStatementsofCashFlows"/>
      <w:bookmarkEnd w:id="417"/>
      <w:r>
        <w:rPr>
          <w:rFonts w:ascii="Times New Roman;Times;serif" w:hAnsi="Times New Roman;Times;serif"/>
          <w:b/>
          <w:sz w:val="20"/>
        </w:rPr>
        <w:t>Unaudited Condensed Consolidated Statements of Cash Flows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thousands)</w:t>
      </w:r>
    </w:p>
    <w:p>
      <w:pPr>
        <w:pStyle w:val="TextBody"/>
        <w:bidi w:val="0"/>
        <w:spacing w:before="0" w:after="240"/>
        <w:ind w:left="0" w:right="0" w:hanging="0"/>
        <w:jc w:val="both"/>
        <w:rPr/>
      </w:pPr>
      <w:r>
        <w:rPr/>
        <w:t>​</w:t>
      </w:r>
    </w:p>
    <w:p>
      <w:pPr>
        <w:pStyle w:val="Normal"/>
        <w:bidi w:val="0"/>
        <w:spacing w:before="0" w:after="0"/>
        <w:jc w:val="left"/>
        <w:rPr>
          <w:sz w:val="4"/>
          <w:szCs w:val="4"/>
        </w:rPr>
      </w:pPr>
      <w:r>
        <w:rPr>
          <w:sz w:val="4"/>
          <w:szCs w:val="4"/>
        </w:rPr>
      </w:r>
      <w:bookmarkStart w:id="418" w:name="Tc_kXZufkEEN0SweRAhqYPGoA_38_5"/>
      <w:bookmarkStart w:id="419" w:name="Tc_FrF09HMiwEyMIH-lSEgoTg_38_3"/>
      <w:bookmarkStart w:id="420" w:name="Tc_zVxCrEWDFEi-yDRJbeTyeA_38_2"/>
      <w:bookmarkStart w:id="421" w:name="Tc_awGOB3cw20uAgKA5suTjDQ_38_0"/>
      <w:bookmarkStart w:id="422" w:name="Tc_VUjwuYPnvkeFI3xqzQbXuA_37_0"/>
      <w:bookmarkStart w:id="423" w:name="Tc_AaYqHwzGb0GJ69-m9pQupg_36_0"/>
      <w:bookmarkStart w:id="424" w:name="Tc_LKLUHacxYEG6IQ6whQ0naw_35_5"/>
      <w:bookmarkStart w:id="425" w:name="Tc_maILskkYeUaageKyls6ECQ_35_2"/>
      <w:bookmarkStart w:id="426" w:name="Tc_mJgfNq3eyECQ707gMK1WAw_35_0"/>
      <w:bookmarkStart w:id="427" w:name="Tc_IfyjVgL0pUuls0bKhIjzOw_34_0"/>
      <w:bookmarkStart w:id="428" w:name="Tc_COPd60Q1sUC_uLQJ0eWeHw_33_0"/>
      <w:bookmarkStart w:id="429" w:name="Tc_W9MuT73F4kmtXpMrpQtNmA_32_6"/>
      <w:bookmarkStart w:id="430" w:name="Tc_sbKkEBJe0ESWMYbFnivh6w_32_3"/>
      <w:bookmarkStart w:id="431" w:name="Tc_QSNq0i9rDUq4jp83aMhD-w_32_0"/>
      <w:bookmarkStart w:id="432" w:name="Tc_bX8lznXZ3EOjqKERxG_Trg_31_3"/>
      <w:bookmarkStart w:id="433" w:name="Tc_LkZp2M6EpE-Bskie_gp2gA_31_0"/>
      <w:bookmarkStart w:id="434" w:name="Tc_O4v_noSgZUeIhKyYyg4fvw_30_3"/>
      <w:bookmarkStart w:id="435" w:name="Tc_dRJi7Xl_Y0O8pjKOBPhC4A_30_0"/>
      <w:bookmarkStart w:id="436" w:name="Tc_qcAXXPrl7UOHFWBD9yIWxQ_29_0"/>
      <w:bookmarkStart w:id="437" w:name="Tc_dj4-r1KlLUSHABwoiSzvuw_28_0"/>
      <w:bookmarkStart w:id="438" w:name="Tc_iZ4p9vfgGECXM3bZmaAZgw_27_3"/>
      <w:bookmarkStart w:id="439" w:name="Tc_W3RG0LVWc0GZo094a2DrrQ_27_0"/>
      <w:bookmarkStart w:id="440" w:name="Tc_qK7Q7bh_k0O2RugusaAApA_26_0"/>
      <w:bookmarkStart w:id="441" w:name="Tc_j3TV8nK7U0WwH-4d0LkViw_25_0"/>
      <w:bookmarkStart w:id="442" w:name="Tc_t6cl678FQkqPNPza7BbiJg_24_0"/>
      <w:bookmarkStart w:id="443" w:name="Tc_9r4iK9uQ7U6UEHAwDx-U-Q_23_0"/>
      <w:bookmarkStart w:id="444" w:name="Tc_uj_hkQKv8k2vmwvgEG8nRg_22_0"/>
      <w:bookmarkStart w:id="445" w:name="Tc__sUhmHq4kk-yL07nk975rw_21_0"/>
      <w:bookmarkStart w:id="446" w:name="Tc_TMllHQrlD0GeA5AImoCwWw_20_0"/>
      <w:bookmarkStart w:id="447" w:name="Tc_JbH8GTY0x0Wom2cc_n56Og_19_0"/>
      <w:bookmarkStart w:id="448" w:name="Tc_0Ox3Jae6EE2NrHTqDfJxTA_18_0"/>
      <w:bookmarkStart w:id="449" w:name="Tc_-EKJKZg-_UKa11gnXT4dqw_17_0"/>
      <w:bookmarkStart w:id="450" w:name="Tc_cUZ0lvYSz0mpaGwLRkmqTQ_16_0"/>
      <w:bookmarkStart w:id="451" w:name="Tc_nV6_rKmPHkSMFZ-FbX1Zkg_15_0"/>
      <w:bookmarkStart w:id="452" w:name="Tc_0p0jQdowhUqxeuFY4ijmGA_14_0"/>
      <w:bookmarkStart w:id="453" w:name="Tc_1gGsCWc9z0OEkcMhyV0APg_13_0"/>
      <w:bookmarkStart w:id="454" w:name="Tc_hMzh8y5RTUSmtHQokL9ukQ_12_0"/>
      <w:bookmarkStart w:id="455" w:name="Tc_lw7DhvSeq0Ovh-nNo3Yf6Q_11_0"/>
      <w:bookmarkStart w:id="456" w:name="Tc_O1ey-lc9p0apBx4wErfdYg_10_3"/>
      <w:bookmarkStart w:id="457" w:name="Tc_T0kw1bbG8ESWBuoarHJAaw_10_0"/>
      <w:bookmarkStart w:id="458" w:name="Tc_4-2DIwO9AkCMISDW4P1xtg_9_0"/>
      <w:bookmarkStart w:id="459" w:name="Tc_DU3xazu5gESIjYHdWmAGOQ_8_6"/>
      <w:bookmarkStart w:id="460" w:name="Tc_y8SIJCNFs0yFTOZEa73R6Q_8_0"/>
      <w:bookmarkStart w:id="461" w:name="Tc_IKdDsXxS_EyoxORVS33-4Q_7_0"/>
      <w:bookmarkStart w:id="462" w:name="Tc_eunlroaiIEO0TaU5nhfGQw_6_5"/>
      <w:bookmarkStart w:id="463" w:name="Tc_9FIrQkG6tkODvaQboL2mlA_6_2"/>
      <w:bookmarkStart w:id="464" w:name="Tc__AUHQ-WYvEieFqm-mEJa1g_6_0"/>
      <w:bookmarkStart w:id="465" w:name="Tc_cLXtYyFnvE-oOLnBiGwwbw_5_0"/>
      <w:bookmarkStart w:id="466" w:name="Tc_CI05fio540yg4CQf7uF7aA_3_5"/>
      <w:bookmarkStart w:id="467" w:name="Tc_HAAfzz_GykuNhTx0ZlEDlQ_3_2"/>
      <w:bookmarkStart w:id="468" w:name="Tc_PPETSp43JkaOocTWLSxJXA_2_2"/>
      <w:bookmarkStart w:id="469" w:name="Tc_k72T220X3Eq3IfyRHjeMsw_1_2"/>
      <w:bookmarkStart w:id="470" w:name="_f39bc365_c84b_477c_930f_0427cc694de1"/>
      <w:bookmarkStart w:id="471" w:name="Tc_kXZufkEEN0SweRAhqYPGoA_38_5"/>
      <w:bookmarkStart w:id="472" w:name="Tc_FrF09HMiwEyMIH-lSEgoTg_38_3"/>
      <w:bookmarkStart w:id="473" w:name="Tc_zVxCrEWDFEi-yDRJbeTyeA_38_2"/>
      <w:bookmarkStart w:id="474" w:name="Tc_awGOB3cw20uAgKA5suTjDQ_38_0"/>
      <w:bookmarkStart w:id="475" w:name="Tc_VUjwuYPnvkeFI3xqzQbXuA_37_0"/>
      <w:bookmarkStart w:id="476" w:name="Tc_AaYqHwzGb0GJ69-m9pQupg_36_0"/>
      <w:bookmarkStart w:id="477" w:name="Tc_LKLUHacxYEG6IQ6whQ0naw_35_5"/>
      <w:bookmarkStart w:id="478" w:name="Tc_maILskkYeUaageKyls6ECQ_35_2"/>
      <w:bookmarkStart w:id="479" w:name="Tc_mJgfNq3eyECQ707gMK1WAw_35_0"/>
      <w:bookmarkStart w:id="480" w:name="Tc_IfyjVgL0pUuls0bKhIjzOw_34_0"/>
      <w:bookmarkStart w:id="481" w:name="Tc_COPd60Q1sUC_uLQJ0eWeHw_33_0"/>
      <w:bookmarkStart w:id="482" w:name="Tc_W9MuT73F4kmtXpMrpQtNmA_32_6"/>
      <w:bookmarkStart w:id="483" w:name="Tc_sbKkEBJe0ESWMYbFnivh6w_32_3"/>
      <w:bookmarkStart w:id="484" w:name="Tc_QSNq0i9rDUq4jp83aMhD-w_32_0"/>
      <w:bookmarkStart w:id="485" w:name="Tc_bX8lznXZ3EOjqKERxG_Trg_31_3"/>
      <w:bookmarkStart w:id="486" w:name="Tc_LkZp2M6EpE-Bskie_gp2gA_31_0"/>
      <w:bookmarkStart w:id="487" w:name="Tc_O4v_noSgZUeIhKyYyg4fvw_30_3"/>
      <w:bookmarkStart w:id="488" w:name="Tc_dRJi7Xl_Y0O8pjKOBPhC4A_30_0"/>
      <w:bookmarkStart w:id="489" w:name="Tc_qcAXXPrl7UOHFWBD9yIWxQ_29_0"/>
      <w:bookmarkStart w:id="490" w:name="Tc_dj4-r1KlLUSHABwoiSzvuw_28_0"/>
      <w:bookmarkStart w:id="491" w:name="Tc_iZ4p9vfgGECXM3bZmaAZgw_27_3"/>
      <w:bookmarkStart w:id="492" w:name="Tc_W3RG0LVWc0GZo094a2DrrQ_27_0"/>
      <w:bookmarkStart w:id="493" w:name="Tc_qK7Q7bh_k0O2RugusaAApA_26_0"/>
      <w:bookmarkStart w:id="494" w:name="Tc_j3TV8nK7U0WwH-4d0LkViw_25_0"/>
      <w:bookmarkStart w:id="495" w:name="Tc_t6cl678FQkqPNPza7BbiJg_24_0"/>
      <w:bookmarkStart w:id="496" w:name="Tc_9r4iK9uQ7U6UEHAwDx-U-Q_23_0"/>
      <w:bookmarkStart w:id="497" w:name="Tc_uj_hkQKv8k2vmwvgEG8nRg_22_0"/>
      <w:bookmarkStart w:id="498" w:name="Tc__sUhmHq4kk-yL07nk975rw_21_0"/>
      <w:bookmarkStart w:id="499" w:name="Tc_TMllHQrlD0GeA5AImoCwWw_20_0"/>
      <w:bookmarkStart w:id="500" w:name="Tc_JbH8GTY0x0Wom2cc_n56Og_19_0"/>
      <w:bookmarkStart w:id="501" w:name="Tc_0Ox3Jae6EE2NrHTqDfJxTA_18_0"/>
      <w:bookmarkStart w:id="502" w:name="Tc_-EKJKZg-_UKa11gnXT4dqw_17_0"/>
      <w:bookmarkStart w:id="503" w:name="Tc_cUZ0lvYSz0mpaGwLRkmqTQ_16_0"/>
      <w:bookmarkStart w:id="504" w:name="Tc_nV6_rKmPHkSMFZ-FbX1Zkg_15_0"/>
      <w:bookmarkStart w:id="505" w:name="Tc_0p0jQdowhUqxeuFY4ijmGA_14_0"/>
      <w:bookmarkStart w:id="506" w:name="Tc_1gGsCWc9z0OEkcMhyV0APg_13_0"/>
      <w:bookmarkStart w:id="507" w:name="Tc_hMzh8y5RTUSmtHQokL9ukQ_12_0"/>
      <w:bookmarkStart w:id="508" w:name="Tc_lw7DhvSeq0Ovh-nNo3Yf6Q_11_0"/>
      <w:bookmarkStart w:id="509" w:name="Tc_O1ey-lc9p0apBx4wErfdYg_10_3"/>
      <w:bookmarkStart w:id="510" w:name="Tc_T0kw1bbG8ESWBuoarHJAaw_10_0"/>
      <w:bookmarkStart w:id="511" w:name="Tc_4-2DIwO9AkCMISDW4P1xtg_9_0"/>
      <w:bookmarkStart w:id="512" w:name="Tc_DU3xazu5gESIjYHdWmAGOQ_8_6"/>
      <w:bookmarkStart w:id="513" w:name="Tc_y8SIJCNFs0yFTOZEa73R6Q_8_0"/>
      <w:bookmarkStart w:id="514" w:name="Tc_IKdDsXxS_EyoxORVS33-4Q_7_0"/>
      <w:bookmarkStart w:id="515" w:name="Tc_eunlroaiIEO0TaU5nhfGQw_6_5"/>
      <w:bookmarkStart w:id="516" w:name="Tc_9FIrQkG6tkODvaQboL2mlA_6_2"/>
      <w:bookmarkStart w:id="517" w:name="Tc__AUHQ-WYvEieFqm-mEJa1g_6_0"/>
      <w:bookmarkStart w:id="518" w:name="Tc_cLXtYyFnvE-oOLnBiGwwbw_5_0"/>
      <w:bookmarkStart w:id="519" w:name="Tc_CI05fio540yg4CQf7uF7aA_3_5"/>
      <w:bookmarkStart w:id="520" w:name="Tc_HAAfzz_GykuNhTx0ZlEDlQ_3_2"/>
      <w:bookmarkStart w:id="521" w:name="Tc_PPETSp43JkaOocTWLSxJXA_2_2"/>
      <w:bookmarkStart w:id="522" w:name="Tc_k72T220X3Eq3IfyRHjeMsw_1_2"/>
      <w:bookmarkStart w:id="523" w:name="_f39bc365_c84b_477c_930f_0427cc694de1"/>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p>
    <w:tbl>
      <w:tblPr>
        <w:tblW w:w="8532" w:type="dxa"/>
        <w:jc w:val="left"/>
        <w:tblInd w:w="0" w:type="dxa"/>
        <w:tblLayout w:type="fixed"/>
        <w:tblCellMar>
          <w:top w:w="0" w:type="dxa"/>
          <w:left w:w="0" w:type="dxa"/>
          <w:bottom w:w="0" w:type="dxa"/>
          <w:right w:w="0" w:type="dxa"/>
        </w:tblCellMar>
      </w:tblPr>
      <w:tblGrid>
        <w:gridCol w:w="6031"/>
        <w:gridCol w:w="326"/>
        <w:gridCol w:w="211"/>
        <w:gridCol w:w="691"/>
        <w:gridCol w:w="326"/>
        <w:gridCol w:w="211"/>
        <w:gridCol w:w="736"/>
      </w:tblGrid>
      <w:tr>
        <w:trPr/>
        <w:tc>
          <w:tcPr>
            <w:tcW w:w="60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3829685" cy="175260"/>
                      <wp:effectExtent l="0" t="0" r="0" b="0"/>
                      <wp:wrapNone/>
                      <wp:docPr id="36" name="Frame36"/>
                      <a:graphic xmlns:a="http://schemas.openxmlformats.org/drawingml/2006/main">
                        <a:graphicData uri="http://schemas.microsoft.com/office/word/2010/wordprocessingShape">
                          <wps:wsp>
                            <wps:cNvSpPr txBox="1"/>
                            <wps:spPr>
                              <a:xfrm>
                                <a:off x="0" y="0"/>
                                <a:ext cx="3829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207010" cy="175260"/>
                      <wp:effectExtent l="0" t="0" r="0" b="0"/>
                      <wp:wrapNone/>
                      <wp:docPr id="37" name="Frame3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133985" cy="175260"/>
                      <wp:effectExtent l="0" t="0" r="0" b="0"/>
                      <wp:wrapNone/>
                      <wp:docPr id="38" name="Frame3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438785" cy="175260"/>
                      <wp:effectExtent l="0" t="0" r="0" b="0"/>
                      <wp:wrapNone/>
                      <wp:docPr id="39" name="Frame39"/>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207010" cy="175260"/>
                      <wp:effectExtent l="0" t="0" r="0" b="0"/>
                      <wp:wrapNone/>
                      <wp:docPr id="40" name="Frame4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133985" cy="175260"/>
                      <wp:effectExtent l="0" t="0" r="0" b="0"/>
                      <wp:wrapNone/>
                      <wp:docPr id="41" name="Frame4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467360" cy="175260"/>
                      <wp:effectExtent l="0" t="0" r="0" b="0"/>
                      <wp:wrapNone/>
                      <wp:docPr id="42" name="Frame42"/>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0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7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r>
      <w:tr>
        <w:trPr/>
        <w:tc>
          <w:tcPr>
            <w:tcW w:w="60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7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r>
      <w:tr>
        <w:trPr/>
        <w:tc>
          <w:tcPr>
            <w:tcW w:w="60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    </w:t>
            </w:r>
          </w:p>
        </w:tc>
        <w:tc>
          <w:tcPr>
            <w:tcW w:w="9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60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pPr>
            <w:r>
              <w:rPr/>
              <w:t>​</w:t>
            </w:r>
          </w:p>
        </w:tc>
      </w:tr>
      <w:tr>
        <w:trPr/>
        <w:tc>
          <w:tcPr>
            <w:tcW w:w="603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Cash flows from operating activities:</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pPr>
            <w:r>
              <w:rPr/>
              <w:t>  </w:t>
            </w:r>
          </w:p>
        </w:tc>
      </w:tr>
      <w:tr>
        <w:trPr/>
        <w:tc>
          <w:tcPr>
            <w:tcW w:w="60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(2,494)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(4,346)</w:t>
            </w:r>
          </w:p>
        </w:tc>
      </w:tr>
      <w:tr>
        <w:trPr/>
        <w:tc>
          <w:tcPr>
            <w:tcW w:w="60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Adjustments to reconcile net loss to net cash used in operating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pPr>
            <w:r>
              <w:rPr/>
              <w:t>  </w:t>
            </w:r>
          </w:p>
        </w:tc>
      </w:tr>
      <w:tr>
        <w:trPr/>
        <w:tc>
          <w:tcPr>
            <w:tcW w:w="60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fair value of derivative liability</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w:t>
            </w:r>
          </w:p>
        </w:tc>
      </w:tr>
      <w:tr>
        <w:trPr/>
        <w:tc>
          <w:tcPr>
            <w:tcW w:w="60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 expense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402</w:t>
            </w:r>
          </w:p>
        </w:tc>
      </w:tr>
      <w:tr>
        <w:trPr/>
        <w:tc>
          <w:tcPr>
            <w:tcW w:w="60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 stock issued for services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r>
      <w:tr>
        <w:trPr/>
        <w:tc>
          <w:tcPr>
            <w:tcW w:w="60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exchange loss (gain)</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(217)</w:t>
            </w:r>
          </w:p>
        </w:tc>
      </w:tr>
      <w:tr>
        <w:trPr/>
        <w:tc>
          <w:tcPr>
            <w:tcW w:w="60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expense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r>
      <w:tr>
        <w:trPr/>
        <w:tc>
          <w:tcPr>
            <w:tcW w:w="60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expense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w:t>
            </w:r>
          </w:p>
        </w:tc>
      </w:tr>
      <w:tr>
        <w:trPr/>
        <w:tc>
          <w:tcPr>
            <w:tcW w:w="60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Non-cash operating lease expense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r>
      <w:tr>
        <w:trPr/>
        <w:tc>
          <w:tcPr>
            <w:tcW w:w="60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Changes in operating assets and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pPr>
            <w:r>
              <w:rPr/>
              <w:t>  </w:t>
            </w:r>
          </w:p>
        </w:tc>
      </w:tr>
      <w:tr>
        <w:trPr/>
        <w:tc>
          <w:tcPr>
            <w:tcW w:w="60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receivable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r>
      <w:tr>
        <w:trPr/>
        <w:tc>
          <w:tcPr>
            <w:tcW w:w="60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receivables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60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Inventory, net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w:t>
            </w:r>
          </w:p>
        </w:tc>
      </w:tr>
      <w:tr>
        <w:trPr/>
        <w:tc>
          <w:tcPr>
            <w:tcW w:w="60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Prepaid expense and other current assets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w:t>
            </w:r>
          </w:p>
        </w:tc>
      </w:tr>
      <w:tr>
        <w:trPr/>
        <w:tc>
          <w:tcPr>
            <w:tcW w:w="60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liability</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60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payable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w:t>
            </w:r>
          </w:p>
        </w:tc>
      </w:tr>
      <w:tr>
        <w:trPr/>
        <w:tc>
          <w:tcPr>
            <w:tcW w:w="60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and other current liabilities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(425)</w:t>
            </w:r>
          </w:p>
        </w:tc>
      </w:tr>
      <w:tr>
        <w:trPr/>
        <w:tc>
          <w:tcPr>
            <w:tcW w:w="60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revenue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w:t>
            </w:r>
          </w:p>
        </w:tc>
      </w:tr>
      <w:tr>
        <w:trPr/>
        <w:tc>
          <w:tcPr>
            <w:tcW w:w="60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used in operating activities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(3,190)</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(4,682)</w:t>
            </w:r>
          </w:p>
        </w:tc>
      </w:tr>
      <w:tr>
        <w:trPr/>
        <w:tc>
          <w:tcPr>
            <w:tcW w:w="603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Cash flows from investing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pPr>
            <w:r>
              <w:rPr/>
              <w:t>  </w:t>
            </w:r>
          </w:p>
        </w:tc>
      </w:tr>
      <w:tr>
        <w:trPr/>
        <w:tc>
          <w:tcPr>
            <w:tcW w:w="60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Purchase of property and equipment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r>
      <w:tr>
        <w:trPr/>
        <w:tc>
          <w:tcPr>
            <w:tcW w:w="60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Proceeds from sale of property and equipment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60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(used in) provided by investing activities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603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Cash flows from financing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pPr>
            <w:r>
              <w:rPr/>
              <w:t>  </w:t>
            </w:r>
          </w:p>
        </w:tc>
      </w:tr>
      <w:tr>
        <w:trPr/>
        <w:tc>
          <w:tcPr>
            <w:tcW w:w="60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 issuance costs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r>
      <w:tr>
        <w:trPr/>
        <w:tc>
          <w:tcPr>
            <w:tcW w:w="60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used in financing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r>
      <w:tr>
        <w:trPr/>
        <w:tc>
          <w:tcPr>
            <w:tcW w:w="60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Effect of currency exchange rate changes on cash and cash equivalents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60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decrease in cash and cash equivalents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(3,209)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(4,695)</w:t>
            </w:r>
          </w:p>
        </w:tc>
      </w:tr>
      <w:tr>
        <w:trPr/>
        <w:tc>
          <w:tcPr>
            <w:tcW w:w="60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 at beginning of period</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14,549</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11,005</w:t>
            </w:r>
          </w:p>
        </w:tc>
      </w:tr>
      <w:tr>
        <w:trPr/>
        <w:tc>
          <w:tcPr>
            <w:tcW w:w="60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 at end of period</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11,340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6,310</w:t>
            </w:r>
          </w:p>
        </w:tc>
      </w:tr>
      <w:tr>
        <w:trPr/>
        <w:tc>
          <w:tcPr>
            <w:tcW w:w="603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Supplemental cash flow information</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  </w:t>
            </w:r>
          </w:p>
        </w:tc>
      </w:tr>
      <w:tr>
        <w:trPr/>
        <w:tc>
          <w:tcPr>
            <w:tcW w:w="60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Non-cash investing and financing transactions: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pPr>
            <w:r>
              <w:rPr/>
              <w:t>  </w:t>
            </w:r>
          </w:p>
        </w:tc>
      </w:tr>
      <w:tr>
        <w:trPr/>
        <w:tc>
          <w:tcPr>
            <w:tcW w:w="60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Right-of-use assets obtained in exchange for new lease liabilities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151</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 unaudited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bookmarkStart w:id="524" w:name="_f1df1b2c_3b2f_4e9b_8083_14cf18ad48ab"/>
      <w:bookmarkEnd w:id="524"/>
      <w:r>
        <w:rPr>
          <w:rFonts w:ascii="Times New Roman;Times;serif" w:hAnsi="Times New Roman;Times;serif"/>
          <w:b/>
          <w:sz w:val="20"/>
        </w:rPr>
        <w:t>Helius Medical Technologies, Inc.</w:t>
      </w:r>
    </w:p>
    <w:p>
      <w:pPr>
        <w:pStyle w:val="TextBody"/>
        <w:bidi w:val="0"/>
        <w:spacing w:before="0" w:after="240"/>
        <w:ind w:left="0" w:right="0" w:hanging="0"/>
        <w:jc w:val="left"/>
        <w:rPr>
          <w:rFonts w:ascii="Times New Roman;Times;serif" w:hAnsi="Times New Roman;Times;serif"/>
          <w:b/>
          <w:sz w:val="20"/>
        </w:rPr>
      </w:pPr>
      <w:bookmarkStart w:id="525" w:name="NotestoUnauditedCondensedConsolidatedFin"/>
      <w:bookmarkEnd w:id="525"/>
      <w:r>
        <w:rPr>
          <w:rFonts w:ascii="Times New Roman;Times;serif" w:hAnsi="Times New Roman;Times;serif"/>
          <w:b/>
          <w:sz w:val="20"/>
        </w:rPr>
        <w:t>Notes to Unaudited Condensed Consolidated Financial Statements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1.    BASIS OF PRESENTATION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The accompanying interim Unaudited Condensed Consolidated Financial Statements of Helius Medical Technologies, Inc. (together with its wholly owned subsidiaries the “Company”) have been prepared in accordance with the rules and regulations of the Securities and Exchange Commission ("SEC") and should be read in conjunction with the audited consolidated financial statements and notes included in the Company’s Annual Report on Form 10-K for the year ended December 31, 2022 that was filed with the Securities and Exchange Commission on March 9, 2023 (“2022 10-K”). Certain information and footnote disclosures normally included in financial statements prepared in accordance with generally accepted accounting principles in the United States of America ("GAAP") have been condensed or omitted.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There have been no material changes to the Company's significant accounting policies from those described in the 2022 10-K. Certain prior period amounts have been reclassified to conform to the current period presentation.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On April 21, 2023, the Company filed a definitive proxy statement seeking stockholder approval for a reverse stock split of our outstanding Class A common stock at a ratio in the range of 1-for-</w:t>
      </w:r>
      <w:r>
        <w:rPr>
          <w:rFonts w:ascii="Times New Roman;Times;serif" w:hAnsi="Times New Roman;Times;serif"/>
          <w:b w:val="false"/>
          <w:i w:val="false"/>
          <w:caps w:val="false"/>
          <w:smallCaps w:val="false"/>
          <w:sz w:val="20"/>
        </w:rPr>
        <w:t>10</w:t>
      </w:r>
      <w:r>
        <w:rPr>
          <w:rFonts w:ascii="Times New Roman;Times;serif" w:hAnsi="Times New Roman;Times;serif"/>
          <w:sz w:val="20"/>
        </w:rPr>
        <w:t xml:space="preserve"> to 1-for-</w:t>
      </w:r>
      <w:r>
        <w:rPr>
          <w:rFonts w:ascii="Times New Roman;Times;serif" w:hAnsi="Times New Roman;Times;serif"/>
          <w:b w:val="false"/>
          <w:i w:val="false"/>
          <w:caps w:val="false"/>
          <w:smallCaps w:val="false"/>
          <w:sz w:val="20"/>
        </w:rPr>
        <w:t>80</w:t>
      </w:r>
      <w:r>
        <w:rPr>
          <w:rFonts w:ascii="Times New Roman;Times;serif" w:hAnsi="Times New Roman;Times;serif"/>
          <w:sz w:val="20"/>
        </w:rPr>
        <w:t>. Refer to Note 6 for additional information.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preparation of financial statements in conformity with GAAP requires management to make estimates and assumptions that affect the amounts reported in the financial statements. Actual results could differ from those estimates.</w:t>
      </w:r>
    </w:p>
    <w:p>
      <w:pPr>
        <w:pStyle w:val="TextBody"/>
        <w:bidi w:val="0"/>
        <w:spacing w:before="0" w:after="240"/>
        <w:ind w:left="0" w:right="0" w:hanging="0"/>
        <w:jc w:val="left"/>
        <w:rPr>
          <w:rFonts w:ascii="Times New Roman;Times;serif" w:hAnsi="Times New Roman;Times;serif"/>
          <w:b w:val="false"/>
          <w:i/>
          <w:sz w:val="20"/>
        </w:rPr>
      </w:pPr>
      <w:r>
        <w:rPr>
          <w:rFonts w:ascii="Times New Roman;Times;serif" w:hAnsi="Times New Roman;Times;serif"/>
          <w:b w:val="false"/>
          <w:i/>
          <w:sz w:val="20"/>
        </w:rPr>
        <w:t>Going Concern Uncertainty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As of March 31, 2023, the Company had cash and cash equivalents of $11.3 million. For the three months ended March 31, 2023, the Company had an operating loss of $3.8 million, and as of March 31, 2023, its accumulated deficit was $153.6 million. For the three months ended March 31, 2023, the Company had $0.1 million of net revenue from the commercial sale of products. The Company expects to continue to incur operating losses and net cash outflows until such time as it generates a level of revenue to support its cost structure. There is no assurance that the Company will achieve profitable operations, and, if achieved, whether it will be sustained on a continued basis. These factors indicate substantial doubt about the Company’s ability to continue as a going concern within one year after the date the financial statements are filed. The Company’s Unaudited Condensed Consolidated Financial Statements have been prepared on the basis of continuity of operations, realization of assets and satisfaction of liabilities in the ordinary course of business; no adjustments have been made relating to the recoverability and classification of recorded asset amounts and classification of liabilities that might be necessary should the Company not continue as a going concern.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 intends to fund ongoing activities by utilizing its current cash and cash equivalents on hand, cash received from the sale of its PoNS device in the U.S. and Canada and by raising additional capital through equity or debt financings. There can be no assurance that the Company will be successful in raising additional capital or that such capital, if available, will be on terms that are acceptable to the Company. If the Company is unable to raise sufficient additional capital, the Company may be compelled to reduce the scope of its operations.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Global Economic Conditions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Generally, worldwide economic conditions remain uncertain, particularly due to the conflict between Russia and Ukraine, disruptions in the banking system and financial markets, lingering effects of the COVID-19 pandemic and increased inflation. The general economic and capital market conditions both in the United States and worldwide, have been volatile in the past and at times have adversely affected the Company’s access to capital and increased the cost of capital. The capital and credit markets may not be available to support future capital raising activity on favorable terms. If economic conditions decline, the Company’s future cost of equity or debt capital and access to the capital markets could be adversely affected.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COVID-19 pandemic that began in late 2019 introduced significant volatility to the global economy, disrupted supply chains and had a widespread adverse effect on the financial markets. Additionally, the Company’s operating results could be materially impacted by changes in the overall macroeconomic environment and other economic factors. Changes in economic conditions, supply chain constraints, logistics challenges, labor shortages, the conflict in Ukraine, disruptions in the banking system and financial markets, and steps taken by governments and central banks, particularly in response to the COVID-19 pandemic as well as other stimulus and spending programs, have led to high inflation, which has increased costs and has caused changes in fiscal and monetary policy, including an increase in interest rates. Although the Company may take measures to mitigate these impacts, if these measures are not effective, the Company’s business, financial condition, results of operations, and liquidity could be materially adversely affected.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the opinion of management, the interim unaudited condensed consolidated financial statements reflect all adjustments necessary for a fair statement of the results for the interim periods presented. All such adjustments, unless otherwise noted herein, are of a normal, recurring nature. The results of operations for the interim periods are not necessarily indicative of the results of operations to be expected for the full year.</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2.    RECENT ACCOUNTING PRONOUNCEMENTS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June 2016, the Financial Accounting Standards Board issued Accounting Standards Update 2016</w:t>
      </w:r>
      <w:r>
        <w:rPr>
          <w:rFonts w:ascii="Times New Roman;Times;serif" w:hAnsi="Times New Roman;Times;serif"/>
          <w:b/>
          <w:sz w:val="20"/>
        </w:rPr>
        <w:t>-</w:t>
      </w:r>
      <w:r>
        <w:rPr>
          <w:rFonts w:ascii="Times New Roman;Times;serif" w:hAnsi="Times New Roman;Times;serif"/>
          <w:sz w:val="20"/>
        </w:rPr>
        <w:t xml:space="preserve">13, </w:t>
      </w:r>
      <w:r>
        <w:rPr>
          <w:rFonts w:ascii="Times New Roman;Times;serif" w:hAnsi="Times New Roman;Times;serif"/>
          <w:i/>
          <w:sz w:val="20"/>
        </w:rPr>
        <w:t>Financial Instruments – Credit Losses (Topic 326): Measurement of Credit Losses on Financial Instruments</w:t>
      </w:r>
      <w:r>
        <w:rPr>
          <w:rFonts w:ascii="Times New Roman;Times;serif" w:hAnsi="Times New Roman;Times;serif"/>
          <w:b/>
          <w:sz w:val="20"/>
        </w:rPr>
        <w:t xml:space="preserve">, </w:t>
      </w:r>
      <w:r>
        <w:rPr>
          <w:rFonts w:ascii="Times New Roman;Times;serif" w:hAnsi="Times New Roman;Times;serif"/>
          <w:sz w:val="20"/>
        </w:rPr>
        <w:t>which requires measurement and recognition of expected credit losses for financial assets held and requires enhanced disclosures regarding significant estimates and judgments used in estimating credit losses</w:t>
      </w:r>
      <w:r>
        <w:rPr>
          <w:rFonts w:ascii="Times New Roman;Times;serif" w:hAnsi="Times New Roman;Times;serif"/>
          <w:b/>
          <w:sz w:val="20"/>
        </w:rPr>
        <w:t>.</w:t>
      </w:r>
      <w:r>
        <w:rPr>
          <w:rFonts w:ascii="Times New Roman;Times;serif" w:hAnsi="Times New Roman;Times;serif"/>
          <w:sz w:val="20"/>
        </w:rPr>
        <w:t xml:space="preserve"> As the Company meets the SEC definition of a Smaller Reporting Company filer, the guidance was effective for fiscal years beginning after December 15, 2022. The adoption of this guidance on January 1, 2023 did not have a material impact on the Company's unaudited condensed consolidated financial statements.</w:t>
      </w:r>
    </w:p>
    <w:p>
      <w:pPr>
        <w:pStyle w:val="TextBody"/>
        <w:bidi w:val="0"/>
        <w:spacing w:before="0" w:after="240"/>
        <w:ind w:left="0" w:right="0" w:hanging="0"/>
        <w:jc w:val="left"/>
        <w:rPr>
          <w:rFonts w:ascii="Times New Roman;Times;serif" w:hAnsi="Times New Roman;Times;serif"/>
          <w:b/>
          <w:sz w:val="20"/>
        </w:rPr>
      </w:pPr>
      <w:bookmarkStart w:id="526" w:name="Tc__LqVmGIt0UWRkTSbcVUtrg_5_5"/>
      <w:bookmarkStart w:id="527" w:name="Tc_8ZwDNH9Y9EStusjFNl43hQ_5_2"/>
      <w:bookmarkStart w:id="528" w:name="Tc_y7eQc6--MEWXHQdpiRUBpw_5_0"/>
      <w:bookmarkStart w:id="529" w:name="Tc_YvHyZXmUCEaY9MlsZ-6IuQ_4_0"/>
      <w:bookmarkStart w:id="530" w:name="Tc_E5359kesp0Gd7Vh2m8cUQg_3_5"/>
      <w:bookmarkStart w:id="531" w:name="Tc_UMKrcwdm6EKgV7DL3enrgQ_3_2"/>
      <w:bookmarkStart w:id="532" w:name="Tc_kNlDdtZZCkCi0ChIfOIKPA_3_0"/>
      <w:bookmarkStart w:id="533" w:name="Tc_kxRqC4Pt4k-6UheJ9NcQNQ_2_5"/>
      <w:bookmarkStart w:id="534" w:name="Tc_Iu4QZZgSyUiT6mvunABAnQ_2_2"/>
      <w:bookmarkStart w:id="535" w:name="Tc_j3kL5Bq-LEK-OU7pNMGL9g_1_5"/>
      <w:bookmarkStart w:id="536" w:name="Tc_NGXyIOI_NU-YgaioA20QNQ_1_2"/>
      <w:bookmarkStart w:id="537" w:name="Tc_1wMee5cNok2BwSyOQPhsww_8_5"/>
      <w:bookmarkStart w:id="538" w:name="Tc_frBUcKmSVk2o1Qv0NPl80g_8_2"/>
      <w:bookmarkStart w:id="539" w:name="Tc_BXEnMTgJikuB82FK6d_jgg_8_0"/>
      <w:bookmarkStart w:id="540" w:name="Tc_8iALTOm020qyaoJTiz3geQ_7_0"/>
      <w:bookmarkStart w:id="541" w:name="Tc_Jk5B4yQWT0KNh6JXls26uw_6_0"/>
      <w:bookmarkStart w:id="542" w:name="Tc_jXxh9CO-YEOi-GmTdmfKzA_5_0"/>
      <w:bookmarkStart w:id="543" w:name="Tc_5yQyXG9A90yxRX0ofs7sdQ_4_0"/>
      <w:bookmarkStart w:id="544" w:name="Tc_nC8docQuG0SiTD6EHA0dzg_3_5"/>
      <w:bookmarkStart w:id="545" w:name="Tc_0fxhfRZp3EGjD93LjITH_Q_3_2"/>
      <w:bookmarkStart w:id="546" w:name="Tc_fAuSR6_S4EqdEJ3KSwHO1Q_3_0"/>
      <w:bookmarkStart w:id="547" w:name="Tc_Qtj6xqckA0aVcMe52YVvvg_2_5"/>
      <w:bookmarkStart w:id="548" w:name="Tc_zzfZrflaTkiyfBazX-iBDg_2_2"/>
      <w:bookmarkStart w:id="549" w:name="Tc_GuVIuvHu7U-rG2YO9v0fkA_1_5"/>
      <w:bookmarkStart w:id="550" w:name="Tc_kJBNpO76Ikafw0Hp87RyNg_1_2"/>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r>
        <w:rPr>
          <w:rFonts w:ascii="Times New Roman;Times;serif" w:hAnsi="Times New Roman;Times;serif"/>
          <w:b/>
          <w:sz w:val="20"/>
        </w:rPr>
        <w:t>3.    SUPPLEMENTAL BALANCE SHEET DISCLOSURES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Components of selected captions in the unaudited condensed consolidated balance sheets consisted of the following:</w:t>
      </w:r>
    </w:p>
    <w:p>
      <w:pPr>
        <w:pStyle w:val="TextBody"/>
        <w:bidi w:val="0"/>
        <w:spacing w:before="0" w:after="240"/>
        <w:ind w:left="0" w:right="0" w:hanging="0"/>
        <w:jc w:val="left"/>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Accounts receivable, net</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Accounts receivable from product sales are net of allowance for credit losses of less than $1 thousand as of both March 31, 2023 and December 31, 2022.</w:t>
      </w:r>
    </w:p>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 xml:space="preserve">Inventory, net (in thousands) </w:t>
      </w:r>
    </w:p>
    <w:p>
      <w:pPr>
        <w:pStyle w:val="TextBody"/>
        <w:bidi w:val="0"/>
        <w:spacing w:before="0" w:after="0"/>
        <w:ind w:left="0" w:right="0" w:hanging="0"/>
        <w:jc w:val="left"/>
        <w:rPr/>
      </w:pPr>
      <w:r>
        <w:rPr/>
        <w:t>​</w:t>
      </w:r>
    </w:p>
    <w:tbl>
      <w:tblPr>
        <w:tblW w:w="4268" w:type="dxa"/>
        <w:jc w:val="left"/>
        <w:tblInd w:w="0" w:type="dxa"/>
        <w:tblLayout w:type="fixed"/>
        <w:tblCellMar>
          <w:top w:w="0" w:type="dxa"/>
          <w:left w:w="0" w:type="dxa"/>
          <w:bottom w:w="0" w:type="dxa"/>
          <w:right w:w="0" w:type="dxa"/>
        </w:tblCellMar>
      </w:tblPr>
      <w:tblGrid>
        <w:gridCol w:w="1531"/>
        <w:gridCol w:w="326"/>
        <w:gridCol w:w="299"/>
        <w:gridCol w:w="601"/>
        <w:gridCol w:w="326"/>
        <w:gridCol w:w="338"/>
        <w:gridCol w:w="847"/>
      </w:tblGrid>
      <w:tr>
        <w:trPr/>
        <w:tc>
          <w:tcPr>
            <w:tcW w:w="15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972185" cy="175260"/>
                      <wp:effectExtent l="0" t="0" r="0" b="0"/>
                      <wp:wrapNone/>
                      <wp:docPr id="43" name="Frame43"/>
                      <a:graphic xmlns:a="http://schemas.openxmlformats.org/drawingml/2006/main">
                        <a:graphicData uri="http://schemas.microsoft.com/office/word/2010/wordprocessingShape">
                          <wps:wsp>
                            <wps:cNvSpPr txBox="1"/>
                            <wps:spPr>
                              <a:xfrm>
                                <a:off x="0" y="0"/>
                                <a:ext cx="972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207010" cy="175260"/>
                      <wp:effectExtent l="0" t="0" r="0" b="0"/>
                      <wp:wrapNone/>
                      <wp:docPr id="44" name="Frame4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189865" cy="175260"/>
                      <wp:effectExtent l="0" t="0" r="0" b="0"/>
                      <wp:wrapNone/>
                      <wp:docPr id="45" name="Frame45"/>
                      <a:graphic xmlns:a="http://schemas.openxmlformats.org/drawingml/2006/main">
                        <a:graphicData uri="http://schemas.microsoft.com/office/word/2010/wordprocessingShape">
                          <wps:wsp>
                            <wps:cNvSpPr txBox="1"/>
                            <wps:spPr>
                              <a:xfrm>
                                <a:off x="0" y="0"/>
                                <a:ext cx="1898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381635" cy="175260"/>
                      <wp:effectExtent l="0" t="0" r="0" b="0"/>
                      <wp:wrapNone/>
                      <wp:docPr id="46" name="Frame46"/>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207010" cy="175260"/>
                      <wp:effectExtent l="0" t="0" r="0" b="0"/>
                      <wp:wrapNone/>
                      <wp:docPr id="47" name="Frame4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214630" cy="175260"/>
                      <wp:effectExtent l="0" t="0" r="0" b="0"/>
                      <wp:wrapNone/>
                      <wp:docPr id="48" name="Frame48"/>
                      <a:graphic xmlns:a="http://schemas.openxmlformats.org/drawingml/2006/main">
                        <a:graphicData uri="http://schemas.microsoft.com/office/word/2010/wordprocessingShape">
                          <wps:wsp>
                            <wps:cNvSpPr txBox="1"/>
                            <wps:spPr>
                              <a:xfrm>
                                <a:off x="0" y="0"/>
                                <a:ext cx="2146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537845" cy="175260"/>
                      <wp:effectExtent l="0" t="0" r="0" b="0"/>
                      <wp:wrapNone/>
                      <wp:docPr id="49" name="Frame49"/>
                      <a:graphic xmlns:a="http://schemas.openxmlformats.org/drawingml/2006/main">
                        <a:graphicData uri="http://schemas.microsoft.com/office/word/2010/wordprocessingShape">
                          <wps:wsp>
                            <wps:cNvSpPr txBox="1"/>
                            <wps:spPr>
                              <a:xfrm>
                                <a:off x="0" y="0"/>
                                <a:ext cx="5378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5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90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326" w:type="dxa"/>
            <w:tcBorders/>
            <w:vAlign w:val="center"/>
          </w:tcPr>
          <w:p>
            <w:pPr>
              <w:pStyle w:val="TableContents"/>
              <w:bidi w:val="0"/>
              <w:spacing w:before="0" w:after="0"/>
              <w:ind w:left="0" w:right="0" w:hanging="0"/>
              <w:jc w:val="center"/>
              <w:rPr/>
            </w:pPr>
            <w:r>
              <w:rPr/>
              <w:t>    </w:t>
            </w:r>
          </w:p>
        </w:tc>
        <w:tc>
          <w:tcPr>
            <w:tcW w:w="118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15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center"/>
              <w:rPr/>
            </w:pPr>
            <w:r>
              <w:rPr/>
              <w:t>​</w:t>
            </w:r>
          </w:p>
        </w:tc>
        <w:tc>
          <w:tcPr>
            <w:tcW w:w="11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15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Raw materials</w:t>
            </w:r>
          </w:p>
        </w:tc>
        <w:tc>
          <w:tcPr>
            <w:tcW w:w="326" w:type="dxa"/>
            <w:tcBorders/>
            <w:shd w:fill="CCEEFF" w:val="clear"/>
            <w:vAlign w:val="center"/>
          </w:tcPr>
          <w:p>
            <w:pPr>
              <w:pStyle w:val="TableContents"/>
              <w:bidi w:val="0"/>
              <w:spacing w:before="0" w:after="0"/>
              <w:ind w:left="0" w:right="0" w:hanging="0"/>
              <w:jc w:val="left"/>
              <w:rPr/>
            </w:pPr>
            <w:r>
              <w:rPr/>
              <w:t>​</w:t>
            </w:r>
          </w:p>
        </w:tc>
        <w:tc>
          <w:tcPr>
            <w:tcW w:w="29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334</w:t>
            </w:r>
          </w:p>
        </w:tc>
        <w:tc>
          <w:tcPr>
            <w:tcW w:w="326" w:type="dxa"/>
            <w:tcBorders/>
            <w:shd w:fill="CCEEFF" w:val="clear"/>
            <w:vAlign w:val="center"/>
          </w:tcPr>
          <w:p>
            <w:pPr>
              <w:pStyle w:val="TableContents"/>
              <w:bidi w:val="0"/>
              <w:spacing w:before="0" w:after="0"/>
              <w:ind w:left="0" w:right="0" w:hanging="0"/>
              <w:jc w:val="left"/>
              <w:rPr/>
            </w:pPr>
            <w:r>
              <w:rPr/>
              <w:t>​</w:t>
            </w:r>
          </w:p>
        </w:tc>
        <w:tc>
          <w:tcPr>
            <w:tcW w:w="33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344</w:t>
            </w:r>
          </w:p>
        </w:tc>
      </w:tr>
      <w:tr>
        <w:trPr/>
        <w:tc>
          <w:tcPr>
            <w:tcW w:w="15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Work-in-process</w:t>
            </w:r>
          </w:p>
        </w:tc>
        <w:tc>
          <w:tcPr>
            <w:tcW w:w="326" w:type="dxa"/>
            <w:tcBorders/>
            <w:vAlign w:val="center"/>
          </w:tcPr>
          <w:p>
            <w:pPr>
              <w:pStyle w:val="TableContents"/>
              <w:bidi w:val="0"/>
              <w:spacing w:before="0" w:after="0"/>
              <w:ind w:left="0" w:right="0" w:hanging="0"/>
              <w:jc w:val="left"/>
              <w:rPr/>
            </w:pPr>
            <w:r>
              <w:rPr/>
              <w:t>​</w:t>
            </w:r>
          </w:p>
        </w:tc>
        <w:tc>
          <w:tcPr>
            <w:tcW w:w="299"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272</w:t>
            </w:r>
          </w:p>
        </w:tc>
        <w:tc>
          <w:tcPr>
            <w:tcW w:w="326" w:type="dxa"/>
            <w:tcBorders/>
            <w:vAlign w:val="center"/>
          </w:tcPr>
          <w:p>
            <w:pPr>
              <w:pStyle w:val="TableContents"/>
              <w:bidi w:val="0"/>
              <w:spacing w:before="0" w:after="0"/>
              <w:ind w:left="0" w:right="0" w:hanging="0"/>
              <w:jc w:val="left"/>
              <w:rPr/>
            </w:pPr>
            <w:r>
              <w:rPr/>
              <w:t>​</w:t>
            </w:r>
          </w:p>
        </w:tc>
        <w:tc>
          <w:tcPr>
            <w:tcW w:w="338" w:type="dxa"/>
            <w:tcBorders/>
            <w:vAlign w:val="center"/>
          </w:tcPr>
          <w:p>
            <w:pPr>
              <w:pStyle w:val="TableContents"/>
              <w:bidi w:val="0"/>
              <w:spacing w:before="0" w:after="0"/>
              <w:ind w:left="0" w:right="0" w:hanging="0"/>
              <w:jc w:val="left"/>
              <w:rPr/>
            </w:pPr>
            <w:r>
              <w:rPr/>
              <w:t> </w:t>
            </w:r>
          </w:p>
        </w:tc>
        <w:tc>
          <w:tcPr>
            <w:tcW w:w="84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284</w:t>
            </w:r>
          </w:p>
        </w:tc>
      </w:tr>
      <w:tr>
        <w:trPr/>
        <w:tc>
          <w:tcPr>
            <w:tcW w:w="15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Finished goods</w:t>
            </w:r>
          </w:p>
        </w:tc>
        <w:tc>
          <w:tcPr>
            <w:tcW w:w="326" w:type="dxa"/>
            <w:tcBorders/>
            <w:shd w:fill="CCEEFF" w:val="clear"/>
            <w:vAlign w:val="center"/>
          </w:tcPr>
          <w:p>
            <w:pPr>
              <w:pStyle w:val="TableContents"/>
              <w:bidi w:val="0"/>
              <w:spacing w:before="0" w:after="0"/>
              <w:ind w:left="0" w:right="0" w:hanging="0"/>
              <w:jc w:val="left"/>
              <w:rPr/>
            </w:pPr>
            <w:r>
              <w:rPr/>
              <w:t>​</w:t>
            </w:r>
          </w:p>
        </w:tc>
        <w:tc>
          <w:tcPr>
            <w:tcW w:w="29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w:t>
            </w:r>
          </w:p>
        </w:tc>
        <w:tc>
          <w:tcPr>
            <w:tcW w:w="326" w:type="dxa"/>
            <w:tcBorders/>
            <w:shd w:fill="CCEEFF" w:val="clear"/>
            <w:vAlign w:val="center"/>
          </w:tcPr>
          <w:p>
            <w:pPr>
              <w:pStyle w:val="TableContents"/>
              <w:bidi w:val="0"/>
              <w:spacing w:before="0" w:after="0"/>
              <w:ind w:left="0" w:right="0" w:hanging="0"/>
              <w:jc w:val="left"/>
              <w:rPr/>
            </w:pPr>
            <w:r>
              <w:rPr/>
              <w:t>​</w:t>
            </w:r>
          </w:p>
        </w:tc>
        <w:tc>
          <w:tcPr>
            <w:tcW w:w="33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4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w:t>
            </w:r>
          </w:p>
        </w:tc>
      </w:tr>
      <w:tr>
        <w:trPr/>
        <w:tc>
          <w:tcPr>
            <w:tcW w:w="15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Inventory, gross</w:t>
            </w:r>
          </w:p>
        </w:tc>
        <w:tc>
          <w:tcPr>
            <w:tcW w:w="326" w:type="dxa"/>
            <w:tcBorders/>
            <w:vAlign w:val="center"/>
          </w:tcPr>
          <w:p>
            <w:pPr>
              <w:pStyle w:val="TableContents"/>
              <w:bidi w:val="0"/>
              <w:spacing w:before="0" w:after="0"/>
              <w:ind w:left="0" w:right="0" w:hanging="0"/>
              <w:jc w:val="left"/>
              <w:rPr/>
            </w:pPr>
            <w:r>
              <w:rPr/>
              <w:t>​</w:t>
            </w:r>
          </w:p>
        </w:tc>
        <w:tc>
          <w:tcPr>
            <w:tcW w:w="299"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681</w:t>
            </w:r>
          </w:p>
        </w:tc>
        <w:tc>
          <w:tcPr>
            <w:tcW w:w="326" w:type="dxa"/>
            <w:tcBorders/>
            <w:vAlign w:val="center"/>
          </w:tcPr>
          <w:p>
            <w:pPr>
              <w:pStyle w:val="TableContents"/>
              <w:bidi w:val="0"/>
              <w:spacing w:before="0" w:after="0"/>
              <w:ind w:left="0" w:right="0" w:hanging="0"/>
              <w:jc w:val="left"/>
              <w:rPr/>
            </w:pPr>
            <w:r>
              <w:rPr/>
              <w:t>​</w:t>
            </w:r>
          </w:p>
        </w:tc>
        <w:tc>
          <w:tcPr>
            <w:tcW w:w="338" w:type="dxa"/>
            <w:tcBorders/>
            <w:vAlign w:val="center"/>
          </w:tcPr>
          <w:p>
            <w:pPr>
              <w:pStyle w:val="TableContents"/>
              <w:bidi w:val="0"/>
              <w:spacing w:before="0" w:after="0"/>
              <w:ind w:left="0" w:right="0" w:hanging="0"/>
              <w:jc w:val="left"/>
              <w:rPr/>
            </w:pPr>
            <w:r>
              <w:rPr/>
              <w:t>​</w:t>
            </w:r>
          </w:p>
        </w:tc>
        <w:tc>
          <w:tcPr>
            <w:tcW w:w="84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667</w:t>
            </w:r>
          </w:p>
        </w:tc>
      </w:tr>
      <w:tr>
        <w:trPr/>
        <w:tc>
          <w:tcPr>
            <w:tcW w:w="15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Inventory reserve</w:t>
            </w:r>
          </w:p>
        </w:tc>
        <w:tc>
          <w:tcPr>
            <w:tcW w:w="326" w:type="dxa"/>
            <w:tcBorders/>
            <w:shd w:fill="CCEEFF" w:val="clear"/>
            <w:vAlign w:val="center"/>
          </w:tcPr>
          <w:p>
            <w:pPr>
              <w:pStyle w:val="TableContents"/>
              <w:bidi w:val="0"/>
              <w:spacing w:before="0" w:after="0"/>
              <w:ind w:left="0" w:right="0" w:hanging="0"/>
              <w:jc w:val="left"/>
              <w:rPr/>
            </w:pPr>
            <w:r>
              <w:rPr/>
              <w:t>​</w:t>
            </w:r>
          </w:p>
        </w:tc>
        <w:tc>
          <w:tcPr>
            <w:tcW w:w="29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w:t>
            </w:r>
          </w:p>
        </w:tc>
        <w:tc>
          <w:tcPr>
            <w:tcW w:w="326" w:type="dxa"/>
            <w:tcBorders/>
            <w:shd w:fill="CCEEFF" w:val="clear"/>
            <w:vAlign w:val="center"/>
          </w:tcPr>
          <w:p>
            <w:pPr>
              <w:pStyle w:val="TableContents"/>
              <w:bidi w:val="0"/>
              <w:spacing w:before="0" w:after="0"/>
              <w:ind w:left="0" w:right="0" w:hanging="0"/>
              <w:jc w:val="left"/>
              <w:rPr/>
            </w:pPr>
            <w:r>
              <w:rPr/>
              <w:t>​</w:t>
            </w:r>
          </w:p>
        </w:tc>
        <w:tc>
          <w:tcPr>
            <w:tcW w:w="33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4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w:t>
            </w:r>
          </w:p>
        </w:tc>
      </w:tr>
      <w:tr>
        <w:trPr/>
        <w:tc>
          <w:tcPr>
            <w:tcW w:w="15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Inventory, net </w:t>
            </w:r>
          </w:p>
        </w:tc>
        <w:tc>
          <w:tcPr>
            <w:tcW w:w="326" w:type="dxa"/>
            <w:tcBorders/>
            <w:vAlign w:val="center"/>
          </w:tcPr>
          <w:p>
            <w:pPr>
              <w:pStyle w:val="TableContents"/>
              <w:bidi w:val="0"/>
              <w:spacing w:before="0" w:after="0"/>
              <w:ind w:left="0" w:right="0" w:hanging="0"/>
              <w:jc w:val="left"/>
              <w:rPr/>
            </w:pPr>
            <w:r>
              <w:rPr/>
              <w:t>​</w:t>
            </w:r>
          </w:p>
        </w:tc>
        <w:tc>
          <w:tcPr>
            <w:tcW w:w="29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617</w:t>
            </w:r>
          </w:p>
        </w:tc>
        <w:tc>
          <w:tcPr>
            <w:tcW w:w="326" w:type="dxa"/>
            <w:tcBorders/>
            <w:vAlign w:val="center"/>
          </w:tcPr>
          <w:p>
            <w:pPr>
              <w:pStyle w:val="TableContents"/>
              <w:bidi w:val="0"/>
              <w:spacing w:before="0" w:after="0"/>
              <w:ind w:left="0" w:right="0" w:hanging="0"/>
              <w:jc w:val="left"/>
              <w:rPr/>
            </w:pPr>
            <w:r>
              <w:rPr/>
              <w:t>​</w:t>
            </w:r>
          </w:p>
        </w:tc>
        <w:tc>
          <w:tcPr>
            <w:tcW w:w="33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7"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589</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During the three months ended March 31, 2023, $14 thousand of inventory was written off to the inventory reserve.</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Prepaid expenses and other current assets (in thousands)</w:t>
      </w:r>
    </w:p>
    <w:p>
      <w:pPr>
        <w:pStyle w:val="TextBody"/>
        <w:bidi w:val="0"/>
        <w:spacing w:before="0" w:after="0"/>
        <w:ind w:left="0" w:right="0" w:hanging="0"/>
        <w:jc w:val="left"/>
        <w:rPr/>
      </w:pPr>
      <w:r>
        <w:rPr/>
        <w:t>​</w:t>
      </w:r>
    </w:p>
    <w:tbl>
      <w:tblPr>
        <w:tblW w:w="6668" w:type="dxa"/>
        <w:jc w:val="left"/>
        <w:tblInd w:w="0" w:type="dxa"/>
        <w:tblLayout w:type="fixed"/>
        <w:tblCellMar>
          <w:top w:w="0" w:type="dxa"/>
          <w:left w:w="0" w:type="dxa"/>
          <w:bottom w:w="0" w:type="dxa"/>
          <w:right w:w="0" w:type="dxa"/>
        </w:tblCellMar>
      </w:tblPr>
      <w:tblGrid>
        <w:gridCol w:w="3931"/>
        <w:gridCol w:w="326"/>
        <w:gridCol w:w="242"/>
        <w:gridCol w:w="658"/>
        <w:gridCol w:w="326"/>
        <w:gridCol w:w="281"/>
        <w:gridCol w:w="904"/>
      </w:tblGrid>
      <w:tr>
        <w:trPr/>
        <w:tc>
          <w:tcPr>
            <w:tcW w:w="3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2496185" cy="175260"/>
                      <wp:effectExtent l="0" t="0" r="0" b="0"/>
                      <wp:wrapNone/>
                      <wp:docPr id="50" name="Frame50"/>
                      <a:graphic xmlns:a="http://schemas.openxmlformats.org/drawingml/2006/main">
                        <a:graphicData uri="http://schemas.microsoft.com/office/word/2010/wordprocessingShape">
                          <wps:wsp>
                            <wps:cNvSpPr txBox="1"/>
                            <wps:spPr>
                              <a:xfrm>
                                <a:off x="0" y="0"/>
                                <a:ext cx="2496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207010" cy="175260"/>
                      <wp:effectExtent l="0" t="0" r="0" b="0"/>
                      <wp:wrapNone/>
                      <wp:docPr id="51" name="Frame5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153670" cy="175260"/>
                      <wp:effectExtent l="0" t="0" r="0" b="0"/>
                      <wp:wrapNone/>
                      <wp:docPr id="52" name="Frame52"/>
                      <a:graphic xmlns:a="http://schemas.openxmlformats.org/drawingml/2006/main">
                        <a:graphicData uri="http://schemas.microsoft.com/office/word/2010/wordprocessingShape">
                          <wps:wsp>
                            <wps:cNvSpPr txBox="1"/>
                            <wps:spPr>
                              <a:xfrm>
                                <a:off x="0" y="0"/>
                                <a:ext cx="1536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417830" cy="175260"/>
                      <wp:effectExtent l="0" t="0" r="0" b="0"/>
                      <wp:wrapNone/>
                      <wp:docPr id="53" name="Frame53"/>
                      <a:graphic xmlns:a="http://schemas.openxmlformats.org/drawingml/2006/main">
                        <a:graphicData uri="http://schemas.microsoft.com/office/word/2010/wordprocessingShape">
                          <wps:wsp>
                            <wps:cNvSpPr txBox="1"/>
                            <wps:spPr>
                              <a:xfrm>
                                <a:off x="0" y="0"/>
                                <a:ext cx="4178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207010" cy="175260"/>
                      <wp:effectExtent l="0" t="0" r="0" b="0"/>
                      <wp:wrapNone/>
                      <wp:docPr id="54" name="Frame5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178435" cy="175260"/>
                      <wp:effectExtent l="0" t="0" r="0" b="0"/>
                      <wp:wrapNone/>
                      <wp:docPr id="55" name="Frame55"/>
                      <a:graphic xmlns:a="http://schemas.openxmlformats.org/drawingml/2006/main">
                        <a:graphicData uri="http://schemas.microsoft.com/office/word/2010/wordprocessingShape">
                          <wps:wsp>
                            <wps:cNvSpPr txBox="1"/>
                            <wps:spPr>
                              <a:xfrm>
                                <a:off x="0" y="0"/>
                                <a:ext cx="1784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574040" cy="175260"/>
                      <wp:effectExtent l="0" t="0" r="0" b="0"/>
                      <wp:wrapNone/>
                      <wp:docPr id="56" name="Frame56"/>
                      <a:graphic xmlns:a="http://schemas.openxmlformats.org/drawingml/2006/main">
                        <a:graphicData uri="http://schemas.microsoft.com/office/word/2010/wordprocessingShape">
                          <wps:wsp>
                            <wps:cNvSpPr txBox="1"/>
                            <wps:spPr>
                              <a:xfrm>
                                <a:off x="0" y="0"/>
                                <a:ext cx="5740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93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90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326" w:type="dxa"/>
            <w:tcBorders/>
            <w:vAlign w:val="center"/>
          </w:tcPr>
          <w:p>
            <w:pPr>
              <w:pStyle w:val="TableContents"/>
              <w:bidi w:val="0"/>
              <w:spacing w:before="0" w:after="1"/>
              <w:ind w:left="0" w:right="0" w:hanging="0"/>
              <w:jc w:val="center"/>
              <w:rPr/>
            </w:pPr>
            <w:r>
              <w:rPr/>
              <w:t>    </w:t>
            </w:r>
          </w:p>
        </w:tc>
        <w:tc>
          <w:tcPr>
            <w:tcW w:w="118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393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90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1"/>
              <w:ind w:left="0" w:right="0" w:hanging="0"/>
              <w:jc w:val="center"/>
              <w:rPr/>
            </w:pPr>
            <w:r>
              <w:rPr/>
              <w:t>​</w:t>
            </w:r>
          </w:p>
        </w:tc>
        <w:tc>
          <w:tcPr>
            <w:tcW w:w="118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39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Prepaid expenses</w:t>
            </w:r>
          </w:p>
        </w:tc>
        <w:tc>
          <w:tcPr>
            <w:tcW w:w="326" w:type="dxa"/>
            <w:tcBorders/>
            <w:shd w:fill="CCEEFF" w:val="clear"/>
            <w:vAlign w:val="center"/>
          </w:tcPr>
          <w:p>
            <w:pPr>
              <w:pStyle w:val="TableContents"/>
              <w:bidi w:val="0"/>
              <w:spacing w:before="0" w:after="1"/>
              <w:ind w:left="0" w:right="0" w:hanging="0"/>
              <w:jc w:val="left"/>
              <w:rPr/>
            </w:pPr>
            <w:r>
              <w:rPr/>
              <w:t>​</w:t>
            </w:r>
          </w:p>
        </w:tc>
        <w:tc>
          <w:tcPr>
            <w:tcW w:w="24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5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687</w:t>
            </w:r>
          </w:p>
        </w:tc>
        <w:tc>
          <w:tcPr>
            <w:tcW w:w="326" w:type="dxa"/>
            <w:tcBorders/>
            <w:shd w:fill="CCEEFF" w:val="clear"/>
            <w:vAlign w:val="center"/>
          </w:tcPr>
          <w:p>
            <w:pPr>
              <w:pStyle w:val="TableContents"/>
              <w:bidi w:val="0"/>
              <w:spacing w:before="0" w:after="1"/>
              <w:ind w:left="0" w:right="0" w:hanging="0"/>
              <w:jc w:val="left"/>
              <w:rPr/>
            </w:pPr>
            <w:r>
              <w:rPr/>
              <w:t>​</w:t>
            </w:r>
          </w:p>
        </w:tc>
        <w:tc>
          <w:tcPr>
            <w:tcW w:w="2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817</w:t>
            </w:r>
          </w:p>
        </w:tc>
      </w:tr>
      <w:tr>
        <w:trPr/>
        <w:tc>
          <w:tcPr>
            <w:tcW w:w="39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Inventory related</w:t>
            </w:r>
          </w:p>
        </w:tc>
        <w:tc>
          <w:tcPr>
            <w:tcW w:w="326" w:type="dxa"/>
            <w:tcBorders/>
            <w:vAlign w:val="center"/>
          </w:tcPr>
          <w:p>
            <w:pPr>
              <w:pStyle w:val="TableContents"/>
              <w:bidi w:val="0"/>
              <w:spacing w:before="0" w:after="1"/>
              <w:ind w:left="0" w:right="0" w:hanging="0"/>
              <w:jc w:val="left"/>
              <w:rPr/>
            </w:pPr>
            <w:r>
              <w:rPr/>
              <w:t>​</w:t>
            </w:r>
          </w:p>
        </w:tc>
        <w:tc>
          <w:tcPr>
            <w:tcW w:w="242"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5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398</w:t>
            </w:r>
          </w:p>
        </w:tc>
        <w:tc>
          <w:tcPr>
            <w:tcW w:w="326" w:type="dxa"/>
            <w:tcBorders/>
            <w:vAlign w:val="center"/>
          </w:tcPr>
          <w:p>
            <w:pPr>
              <w:pStyle w:val="TableContents"/>
              <w:bidi w:val="0"/>
              <w:spacing w:before="0" w:after="1"/>
              <w:ind w:left="0" w:right="0" w:hanging="0"/>
              <w:jc w:val="left"/>
              <w:rPr/>
            </w:pPr>
            <w:r>
              <w:rPr/>
              <w:t>​</w:t>
            </w:r>
          </w:p>
        </w:tc>
        <w:tc>
          <w:tcPr>
            <w:tcW w:w="28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0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399</w:t>
            </w:r>
          </w:p>
        </w:tc>
      </w:tr>
      <w:tr>
        <w:trPr/>
        <w:tc>
          <w:tcPr>
            <w:tcW w:w="39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prepaid expenses and other current assets</w:t>
            </w:r>
          </w:p>
        </w:tc>
        <w:tc>
          <w:tcPr>
            <w:tcW w:w="326" w:type="dxa"/>
            <w:tcBorders/>
            <w:shd w:fill="CCEEFF" w:val="clear"/>
            <w:vAlign w:val="center"/>
          </w:tcPr>
          <w:p>
            <w:pPr>
              <w:pStyle w:val="TableContents"/>
              <w:bidi w:val="0"/>
              <w:spacing w:before="0" w:after="1"/>
              <w:ind w:left="0" w:right="0" w:hanging="0"/>
              <w:jc w:val="left"/>
              <w:rPr/>
            </w:pPr>
            <w:r>
              <w:rPr/>
              <w:t>​</w:t>
            </w:r>
          </w:p>
        </w:tc>
        <w:tc>
          <w:tcPr>
            <w:tcW w:w="242"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5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1,085</w:t>
            </w:r>
          </w:p>
        </w:tc>
        <w:tc>
          <w:tcPr>
            <w:tcW w:w="326" w:type="dxa"/>
            <w:tcBorders/>
            <w:shd w:fill="CCEEFF" w:val="clear"/>
            <w:vAlign w:val="center"/>
          </w:tcPr>
          <w:p>
            <w:pPr>
              <w:pStyle w:val="TableContents"/>
              <w:bidi w:val="0"/>
              <w:spacing w:before="0" w:after="1"/>
              <w:ind w:left="0" w:right="0" w:hanging="0"/>
              <w:jc w:val="left"/>
              <w:rPr/>
            </w:pPr>
            <w:r>
              <w:rPr/>
              <w:t>​</w:t>
            </w:r>
          </w:p>
        </w:tc>
        <w:tc>
          <w:tcPr>
            <w:tcW w:w="2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4"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1,216</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bookmarkStart w:id="551" w:name="Tc__sDA8_S0sUiRF1HQZ1mLsQ_7_5"/>
      <w:bookmarkStart w:id="552" w:name="Tc_y2ahbdCCQUGcRjQF9fJ8Fg_7_2"/>
      <w:bookmarkStart w:id="553" w:name="Tc_0cuQwWDqgEmsUfwRycn0Vw_7_0"/>
      <w:bookmarkStart w:id="554" w:name="Tc_GoFTxbA5D0-XGJjRQ8JC1A_6_0"/>
      <w:bookmarkStart w:id="555" w:name="Tc_frv1VrTQHEmV7IhBcqbnpg_5_0"/>
      <w:bookmarkStart w:id="556" w:name="Tc_kja99MIAoEK2_vJtGttjYg_4_0"/>
      <w:bookmarkStart w:id="557" w:name="Tc_fzYs1_O7bEi1ut7C9Pm6Nw_3_5"/>
      <w:bookmarkStart w:id="558" w:name="Tc_5du700CnnkWwF5S8qJsAlQ_3_2"/>
      <w:bookmarkStart w:id="559" w:name="Tc_U_TYicpsbUC73dfWPUF1bg_3_0"/>
      <w:bookmarkStart w:id="560" w:name="Tc_wjuy1l7P90K1CE-QNjp7OQ_2_5"/>
      <w:bookmarkStart w:id="561" w:name="Tc_KOXDFV9K4Eea4f-XBCCEIw_2_2"/>
      <w:bookmarkStart w:id="562" w:name="Tc_wjbV9fEMZEmgafpbD0rEMw_1_5"/>
      <w:bookmarkStart w:id="563" w:name="Tc_KCGRjdrrL0qsA-rt-DKQHA_1_2"/>
      <w:bookmarkEnd w:id="551"/>
      <w:bookmarkEnd w:id="552"/>
      <w:bookmarkEnd w:id="553"/>
      <w:bookmarkEnd w:id="554"/>
      <w:bookmarkEnd w:id="555"/>
      <w:bookmarkEnd w:id="556"/>
      <w:bookmarkEnd w:id="557"/>
      <w:bookmarkEnd w:id="558"/>
      <w:bookmarkEnd w:id="559"/>
      <w:bookmarkEnd w:id="560"/>
      <w:bookmarkEnd w:id="561"/>
      <w:bookmarkEnd w:id="562"/>
      <w:bookmarkEnd w:id="563"/>
      <w:r>
        <w:rPr>
          <w:rFonts w:ascii="Times New Roman;Times;serif" w:hAnsi="Times New Roman;Times;serif"/>
          <w:b/>
          <w:sz w:val="20"/>
        </w:rPr>
        <w:t>Accrued and other current liabilities (in thousands)</w:t>
      </w:r>
    </w:p>
    <w:p>
      <w:pPr>
        <w:pStyle w:val="TextBody"/>
        <w:bidi w:val="0"/>
        <w:spacing w:before="0" w:after="0"/>
        <w:ind w:left="0" w:right="0" w:hanging="0"/>
        <w:jc w:val="left"/>
        <w:rPr/>
      </w:pPr>
      <w:r>
        <w:rPr/>
        <w:t>​</w:t>
      </w:r>
    </w:p>
    <w:tbl>
      <w:tblPr>
        <w:tblW w:w="6218" w:type="dxa"/>
        <w:jc w:val="left"/>
        <w:tblInd w:w="0" w:type="dxa"/>
        <w:tblLayout w:type="fixed"/>
        <w:tblCellMar>
          <w:top w:w="0" w:type="dxa"/>
          <w:left w:w="0" w:type="dxa"/>
          <w:bottom w:w="0" w:type="dxa"/>
          <w:right w:w="0" w:type="dxa"/>
        </w:tblCellMar>
      </w:tblPr>
      <w:tblGrid>
        <w:gridCol w:w="3481"/>
        <w:gridCol w:w="326"/>
        <w:gridCol w:w="299"/>
        <w:gridCol w:w="601"/>
        <w:gridCol w:w="326"/>
        <w:gridCol w:w="281"/>
        <w:gridCol w:w="904"/>
      </w:tblGrid>
      <w:tr>
        <w:trPr/>
        <w:tc>
          <w:tcPr>
            <w:tcW w:w="34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2210435" cy="175260"/>
                      <wp:effectExtent l="0" t="0" r="0" b="0"/>
                      <wp:wrapNone/>
                      <wp:docPr id="57" name="Frame57"/>
                      <a:graphic xmlns:a="http://schemas.openxmlformats.org/drawingml/2006/main">
                        <a:graphicData uri="http://schemas.microsoft.com/office/word/2010/wordprocessingShape">
                          <wps:wsp>
                            <wps:cNvSpPr txBox="1"/>
                            <wps:spPr>
                              <a:xfrm>
                                <a:off x="0" y="0"/>
                                <a:ext cx="22104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207010" cy="175260"/>
                      <wp:effectExtent l="0" t="0" r="0" b="0"/>
                      <wp:wrapNone/>
                      <wp:docPr id="58" name="Frame5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189865" cy="175260"/>
                      <wp:effectExtent l="0" t="0" r="0" b="0"/>
                      <wp:wrapNone/>
                      <wp:docPr id="59" name="Frame59"/>
                      <a:graphic xmlns:a="http://schemas.openxmlformats.org/drawingml/2006/main">
                        <a:graphicData uri="http://schemas.microsoft.com/office/word/2010/wordprocessingShape">
                          <wps:wsp>
                            <wps:cNvSpPr txBox="1"/>
                            <wps:spPr>
                              <a:xfrm>
                                <a:off x="0" y="0"/>
                                <a:ext cx="1898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381635" cy="175260"/>
                      <wp:effectExtent l="0" t="0" r="0" b="0"/>
                      <wp:wrapNone/>
                      <wp:docPr id="60" name="Frame60"/>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207010" cy="175260"/>
                      <wp:effectExtent l="0" t="0" r="0" b="0"/>
                      <wp:wrapNone/>
                      <wp:docPr id="61" name="Frame6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178435" cy="175260"/>
                      <wp:effectExtent l="0" t="0" r="0" b="0"/>
                      <wp:wrapNone/>
                      <wp:docPr id="62" name="Frame62"/>
                      <a:graphic xmlns:a="http://schemas.openxmlformats.org/drawingml/2006/main">
                        <a:graphicData uri="http://schemas.microsoft.com/office/word/2010/wordprocessingShape">
                          <wps:wsp>
                            <wps:cNvSpPr txBox="1"/>
                            <wps:spPr>
                              <a:xfrm>
                                <a:off x="0" y="0"/>
                                <a:ext cx="1784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574040" cy="175260"/>
                      <wp:effectExtent l="0" t="0" r="0" b="0"/>
                      <wp:wrapNone/>
                      <wp:docPr id="63" name="Frame63"/>
                      <a:graphic xmlns:a="http://schemas.openxmlformats.org/drawingml/2006/main">
                        <a:graphicData uri="http://schemas.microsoft.com/office/word/2010/wordprocessingShape">
                          <wps:wsp>
                            <wps:cNvSpPr txBox="1"/>
                            <wps:spPr>
                              <a:xfrm>
                                <a:off x="0" y="0"/>
                                <a:ext cx="5740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4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90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326" w:type="dxa"/>
            <w:tcBorders/>
            <w:vAlign w:val="center"/>
          </w:tcPr>
          <w:p>
            <w:pPr>
              <w:pStyle w:val="TableContents"/>
              <w:bidi w:val="0"/>
              <w:spacing w:before="0" w:after="1"/>
              <w:ind w:left="0" w:right="0" w:hanging="0"/>
              <w:jc w:val="center"/>
              <w:rPr/>
            </w:pPr>
            <w:r>
              <w:rPr/>
              <w:t>    </w:t>
            </w:r>
          </w:p>
        </w:tc>
        <w:tc>
          <w:tcPr>
            <w:tcW w:w="118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34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90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1"/>
              <w:ind w:left="0" w:right="0" w:hanging="0"/>
              <w:jc w:val="left"/>
              <w:rPr/>
            </w:pPr>
            <w:r>
              <w:rPr/>
              <w:t>    </w:t>
            </w:r>
          </w:p>
        </w:tc>
        <w:tc>
          <w:tcPr>
            <w:tcW w:w="118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34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Insurance payable</w:t>
            </w:r>
          </w:p>
        </w:tc>
        <w:tc>
          <w:tcPr>
            <w:tcW w:w="326" w:type="dxa"/>
            <w:tcBorders/>
            <w:vAlign w:val="center"/>
          </w:tcPr>
          <w:p>
            <w:pPr>
              <w:pStyle w:val="TableContents"/>
              <w:bidi w:val="0"/>
              <w:spacing w:before="0" w:after="1"/>
              <w:ind w:left="0" w:right="0" w:hanging="0"/>
              <w:jc w:val="left"/>
              <w:rPr/>
            </w:pPr>
            <w:r>
              <w:rPr/>
              <w:t>​</w:t>
            </w:r>
          </w:p>
        </w:tc>
        <w:tc>
          <w:tcPr>
            <w:tcW w:w="29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373</w:t>
            </w:r>
          </w:p>
        </w:tc>
        <w:tc>
          <w:tcPr>
            <w:tcW w:w="326" w:type="dxa"/>
            <w:tcBorders/>
            <w:vAlign w:val="center"/>
          </w:tcPr>
          <w:p>
            <w:pPr>
              <w:pStyle w:val="TableContents"/>
              <w:bidi w:val="0"/>
              <w:spacing w:before="0" w:after="1"/>
              <w:ind w:left="0" w:right="0" w:hanging="0"/>
              <w:jc w:val="left"/>
              <w:rPr/>
            </w:pPr>
            <w:r>
              <w:rPr/>
              <w:t>​</w:t>
            </w:r>
          </w:p>
        </w:tc>
        <w:tc>
          <w:tcPr>
            <w:tcW w:w="2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592</w:t>
            </w:r>
          </w:p>
        </w:tc>
      </w:tr>
      <w:tr>
        <w:trPr/>
        <w:tc>
          <w:tcPr>
            <w:tcW w:w="34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Employees benefits</w:t>
            </w:r>
          </w:p>
        </w:tc>
        <w:tc>
          <w:tcPr>
            <w:tcW w:w="326" w:type="dxa"/>
            <w:tcBorders/>
            <w:shd w:fill="CCEEFF" w:val="clear"/>
            <w:vAlign w:val="center"/>
          </w:tcPr>
          <w:p>
            <w:pPr>
              <w:pStyle w:val="TableContents"/>
              <w:bidi w:val="0"/>
              <w:spacing w:before="0" w:after="1"/>
              <w:ind w:left="0" w:right="0" w:hanging="0"/>
              <w:jc w:val="left"/>
              <w:rPr/>
            </w:pPr>
            <w:r>
              <w:rPr/>
              <w:t>​</w:t>
            </w:r>
          </w:p>
        </w:tc>
        <w:tc>
          <w:tcPr>
            <w:tcW w:w="299"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331</w:t>
            </w:r>
          </w:p>
        </w:tc>
        <w:tc>
          <w:tcPr>
            <w:tcW w:w="326" w:type="dxa"/>
            <w:tcBorders/>
            <w:shd w:fill="CCEEFF" w:val="clear"/>
            <w:vAlign w:val="center"/>
          </w:tcPr>
          <w:p>
            <w:pPr>
              <w:pStyle w:val="TableContents"/>
              <w:bidi w:val="0"/>
              <w:spacing w:before="0" w:after="1"/>
              <w:ind w:left="0" w:right="0" w:hanging="0"/>
              <w:jc w:val="left"/>
              <w:rPr/>
            </w:pPr>
            <w:r>
              <w:rPr/>
              <w:t>​</w:t>
            </w:r>
          </w:p>
        </w:tc>
        <w:tc>
          <w:tcPr>
            <w:tcW w:w="281" w:type="dxa"/>
            <w:tcBorders/>
            <w:shd w:fill="CCEEFF" w:val="clear"/>
            <w:vAlign w:val="center"/>
          </w:tcPr>
          <w:p>
            <w:pPr>
              <w:pStyle w:val="TableContents"/>
              <w:bidi w:val="0"/>
              <w:spacing w:before="0" w:after="1"/>
              <w:ind w:left="0" w:right="0" w:hanging="0"/>
              <w:jc w:val="left"/>
              <w:rPr/>
            </w:pPr>
            <w:r>
              <w:rPr/>
              <w:t>​</w:t>
            </w:r>
          </w:p>
        </w:tc>
        <w:tc>
          <w:tcPr>
            <w:tcW w:w="90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509</w:t>
            </w:r>
          </w:p>
        </w:tc>
      </w:tr>
      <w:tr>
        <w:trPr/>
        <w:tc>
          <w:tcPr>
            <w:tcW w:w="34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Professional services</w:t>
            </w:r>
          </w:p>
        </w:tc>
        <w:tc>
          <w:tcPr>
            <w:tcW w:w="326" w:type="dxa"/>
            <w:tcBorders/>
            <w:vAlign w:val="center"/>
          </w:tcPr>
          <w:p>
            <w:pPr>
              <w:pStyle w:val="TableContents"/>
              <w:bidi w:val="0"/>
              <w:spacing w:before="0" w:after="1"/>
              <w:ind w:left="0" w:right="0" w:hanging="0"/>
              <w:jc w:val="left"/>
              <w:rPr/>
            </w:pPr>
            <w:r>
              <w:rPr/>
              <w:t>​</w:t>
            </w:r>
          </w:p>
        </w:tc>
        <w:tc>
          <w:tcPr>
            <w:tcW w:w="299"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106</w:t>
            </w:r>
          </w:p>
        </w:tc>
        <w:tc>
          <w:tcPr>
            <w:tcW w:w="326" w:type="dxa"/>
            <w:tcBorders/>
            <w:vAlign w:val="center"/>
          </w:tcPr>
          <w:p>
            <w:pPr>
              <w:pStyle w:val="TableContents"/>
              <w:bidi w:val="0"/>
              <w:spacing w:before="0" w:after="1"/>
              <w:ind w:left="0" w:right="0" w:hanging="0"/>
              <w:jc w:val="left"/>
              <w:rPr/>
            </w:pPr>
            <w:r>
              <w:rPr/>
              <w:t>​</w:t>
            </w:r>
          </w:p>
        </w:tc>
        <w:tc>
          <w:tcPr>
            <w:tcW w:w="281" w:type="dxa"/>
            <w:tcBorders/>
            <w:vAlign w:val="center"/>
          </w:tcPr>
          <w:p>
            <w:pPr>
              <w:pStyle w:val="TableContents"/>
              <w:bidi w:val="0"/>
              <w:spacing w:before="0" w:after="1"/>
              <w:ind w:left="0" w:right="0" w:hanging="0"/>
              <w:jc w:val="left"/>
              <w:rPr/>
            </w:pPr>
            <w:r>
              <w:rPr/>
              <w:t> </w:t>
            </w:r>
          </w:p>
        </w:tc>
        <w:tc>
          <w:tcPr>
            <w:tcW w:w="90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119</w:t>
            </w:r>
          </w:p>
        </w:tc>
      </w:tr>
      <w:tr>
        <w:trPr/>
        <w:tc>
          <w:tcPr>
            <w:tcW w:w="34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w:t>
            </w:r>
          </w:p>
        </w:tc>
        <w:tc>
          <w:tcPr>
            <w:tcW w:w="326" w:type="dxa"/>
            <w:tcBorders/>
            <w:shd w:fill="CCEEFF" w:val="clear"/>
            <w:vAlign w:val="center"/>
          </w:tcPr>
          <w:p>
            <w:pPr>
              <w:pStyle w:val="TableContents"/>
              <w:bidi w:val="0"/>
              <w:spacing w:before="0" w:after="1"/>
              <w:ind w:left="0" w:right="0" w:hanging="0"/>
              <w:jc w:val="left"/>
              <w:rPr/>
            </w:pPr>
            <w:r>
              <w:rPr/>
              <w:t>​</w:t>
            </w:r>
          </w:p>
        </w:tc>
        <w:tc>
          <w:tcPr>
            <w:tcW w:w="29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w:t>
            </w:r>
          </w:p>
        </w:tc>
        <w:tc>
          <w:tcPr>
            <w:tcW w:w="326" w:type="dxa"/>
            <w:tcBorders/>
            <w:shd w:fill="CCEEFF" w:val="clear"/>
            <w:vAlign w:val="center"/>
          </w:tcPr>
          <w:p>
            <w:pPr>
              <w:pStyle w:val="TableContents"/>
              <w:bidi w:val="0"/>
              <w:spacing w:before="0" w:after="1"/>
              <w:ind w:left="0" w:right="0" w:hanging="0"/>
              <w:jc w:val="left"/>
              <w:rPr/>
            </w:pPr>
            <w:r>
              <w:rPr/>
              <w:t>​</w:t>
            </w:r>
          </w:p>
        </w:tc>
        <w:tc>
          <w:tcPr>
            <w:tcW w:w="2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0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w:t>
            </w:r>
          </w:p>
        </w:tc>
      </w:tr>
      <w:tr>
        <w:trPr/>
        <w:tc>
          <w:tcPr>
            <w:tcW w:w="34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accrued and other current liabilities</w:t>
            </w:r>
          </w:p>
        </w:tc>
        <w:tc>
          <w:tcPr>
            <w:tcW w:w="326" w:type="dxa"/>
            <w:tcBorders/>
            <w:vAlign w:val="center"/>
          </w:tcPr>
          <w:p>
            <w:pPr>
              <w:pStyle w:val="TableContents"/>
              <w:bidi w:val="0"/>
              <w:spacing w:before="0" w:after="1"/>
              <w:ind w:left="0" w:right="0" w:hanging="0"/>
              <w:jc w:val="left"/>
              <w:rPr/>
            </w:pPr>
            <w:r>
              <w:rPr/>
              <w:t>​</w:t>
            </w:r>
          </w:p>
        </w:tc>
        <w:tc>
          <w:tcPr>
            <w:tcW w:w="299"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0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856</w:t>
            </w:r>
          </w:p>
        </w:tc>
        <w:tc>
          <w:tcPr>
            <w:tcW w:w="326" w:type="dxa"/>
            <w:tcBorders/>
            <w:vAlign w:val="center"/>
          </w:tcPr>
          <w:p>
            <w:pPr>
              <w:pStyle w:val="TableContents"/>
              <w:bidi w:val="0"/>
              <w:spacing w:before="0" w:after="1"/>
              <w:ind w:left="0" w:right="0" w:hanging="0"/>
              <w:jc w:val="left"/>
              <w:rPr/>
            </w:pPr>
            <w:r>
              <w:rPr/>
              <w:t>​</w:t>
            </w:r>
          </w:p>
        </w:tc>
        <w:tc>
          <w:tcPr>
            <w:tcW w:w="28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4"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1,280</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Deferred revenue</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Exclusive Distribution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Pursuant to an Exclusive Distribution Agreement with Health Tech Connex Inc. (“HTC”) (“Exclusivity Agreement”) entered into on March 3, 2023, subject to certain terms and conditions, the Company granted to HTC the exclusive right to provide PoNS Therapy in the Fraser Valley and Vancouver metro regions of British Columbia. HTC will purchase the PoNS devices for use in these regions exclusively from the Company and on terms no less favorable than the then-current standard terms and conditions. This Exclusivity Agreement replaced the previous Clinical Research and Co-Promotion Agreement (“Co-Promotion Agreement”) between the parties entered into in October 2019 that included a similar exclusive right provision. The exclusive right under the Exclusivity Agreement was granted for a value of CAD$273 thousand, which is represented by the unamortized up-front payment under the former Co-Promotion Agreement. The initial term of the Exclusivity Agreement expires on December 31, 2027, and is renewable by HTC for one additional five-year term upon sixty days’ written notice to the Company.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Deferred revenue as of both March 31, 2023 and December 31, 2022 is comprised of the remaining unamortized amount under these agreements. Revenue recognized is included in other revenue in the Unaudited Condensed Consolidated Statements of Operations and Comprehensive Loss. </w:t>
      </w:r>
    </w:p>
    <w:p>
      <w:pPr>
        <w:pStyle w:val="TextBody"/>
        <w:bidi w:val="0"/>
        <w:spacing w:before="0" w:after="240"/>
        <w:ind w:left="0" w:right="0" w:hanging="0"/>
        <w:jc w:val="left"/>
        <w:rPr>
          <w:rFonts w:ascii="Times New Roman;Times;serif" w:hAnsi="Times New Roman;Times;serif"/>
          <w:b/>
          <w:sz w:val="20"/>
        </w:rPr>
      </w:pPr>
      <w:bookmarkStart w:id="564" w:name="Tc_lvTw-OVwy0i5OkOrkxYClw_6_2"/>
      <w:bookmarkStart w:id="565" w:name="Tc_H-ct9gUlVEGwBwAz-nAnIg_6_0"/>
      <w:bookmarkStart w:id="566" w:name="Tc_jv_sARfFZUOxF5cKpCpvvw_5_0"/>
      <w:bookmarkStart w:id="567" w:name="Tc_NdknvtaRvk6gIuAAtAFQ-A_4_0"/>
      <w:bookmarkStart w:id="568" w:name="Tc_jjVVXvzvkEO1vCFfIS0IEQ_3_0"/>
      <w:bookmarkStart w:id="569" w:name="Tc_bm5yqX2rJ06Yn-bwi3y0Eg_2_0"/>
      <w:bookmarkStart w:id="570" w:name="Tc_VryFN2wE1E2xbnkTZdnzMw_1_2"/>
      <w:bookmarkStart w:id="571" w:name="Tc_krJSZAHUEEefUQgU3c_TJQ_1_0"/>
      <w:bookmarkStart w:id="572" w:name="_d53e8574_1144_46bc_ae17_63cb399e07bc"/>
      <w:bookmarkEnd w:id="564"/>
      <w:bookmarkEnd w:id="565"/>
      <w:bookmarkEnd w:id="566"/>
      <w:bookmarkEnd w:id="567"/>
      <w:bookmarkEnd w:id="568"/>
      <w:bookmarkEnd w:id="569"/>
      <w:bookmarkEnd w:id="570"/>
      <w:bookmarkEnd w:id="571"/>
      <w:bookmarkEnd w:id="572"/>
      <w:r>
        <w:rPr>
          <w:rFonts w:ascii="Times New Roman;Times;serif" w:hAnsi="Times New Roman;Times;serif"/>
          <w:b/>
          <w:sz w:val="20"/>
        </w:rPr>
        <w:t>4.    LEASES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The Company has two operating leases for office space with lease terms expiring in January 2024 and March 2025. The leases do not contain any </w:t>
      </w:r>
      <w:r>
        <w:rPr>
          <w:rFonts w:ascii="Times New Roman;Times;serif" w:hAnsi="Times New Roman;Times;serif"/>
          <w:b w:val="false"/>
          <w:i w:val="false"/>
          <w:caps w:val="false"/>
          <w:smallCaps w:val="false"/>
          <w:sz w:val="20"/>
        </w:rPr>
        <w:t>options to extend</w:t>
      </w:r>
      <w:r>
        <w:rPr>
          <w:rFonts w:ascii="Times New Roman;Times;serif" w:hAnsi="Times New Roman;Times;serif"/>
          <w:sz w:val="20"/>
        </w:rPr>
        <w:t>. Operating lease costs for the three months ended March 31, 2023 and 2022 were $14 thousand and $15 thousand, respectively.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Maturities of operating lease liabilities as of March 31, 2023 were as follows (in thousands):</w:t>
      </w:r>
    </w:p>
    <w:tbl>
      <w:tblPr>
        <w:tblW w:w="2692" w:type="dxa"/>
        <w:jc w:val="left"/>
        <w:tblInd w:w="0" w:type="dxa"/>
        <w:tblLayout w:type="fixed"/>
        <w:tblCellMar>
          <w:top w:w="0" w:type="dxa"/>
          <w:left w:w="0" w:type="dxa"/>
          <w:bottom w:w="0" w:type="dxa"/>
          <w:right w:w="0" w:type="dxa"/>
        </w:tblCellMar>
      </w:tblPr>
      <w:tblGrid>
        <w:gridCol w:w="1906"/>
        <w:gridCol w:w="109"/>
        <w:gridCol w:w="211"/>
        <w:gridCol w:w="466"/>
      </w:tblGrid>
      <w:tr>
        <w:trPr/>
        <w:tc>
          <w:tcPr>
            <w:tcW w:w="19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1210310" cy="175260"/>
                      <wp:effectExtent l="0" t="0" r="0" b="0"/>
                      <wp:wrapNone/>
                      <wp:docPr id="64" name="Frame64"/>
                      <a:graphic xmlns:a="http://schemas.openxmlformats.org/drawingml/2006/main">
                        <a:graphicData uri="http://schemas.microsoft.com/office/word/2010/wordprocessingShape">
                          <wps:wsp>
                            <wps:cNvSpPr txBox="1"/>
                            <wps:spPr>
                              <a:xfrm>
                                <a:off x="0" y="0"/>
                                <a:ext cx="1210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9215" cy="175260"/>
                      <wp:effectExtent l="0" t="0" r="0" b="0"/>
                      <wp:wrapNone/>
                      <wp:docPr id="65" name="Frame6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133985" cy="175260"/>
                      <wp:effectExtent l="0" t="0" r="0" b="0"/>
                      <wp:wrapNone/>
                      <wp:docPr id="66" name="Frame6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295910" cy="175260"/>
                      <wp:effectExtent l="0" t="0" r="0" b="0"/>
                      <wp:wrapNone/>
                      <wp:docPr id="67" name="Frame67"/>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9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2023 (remaining)</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w:t>
            </w:r>
          </w:p>
        </w:tc>
      </w:tr>
      <w:tr>
        <w:trPr/>
        <w:tc>
          <w:tcPr>
            <w:tcW w:w="19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2024</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w:t>
            </w:r>
          </w:p>
        </w:tc>
      </w:tr>
      <w:tr>
        <w:trPr/>
        <w:tc>
          <w:tcPr>
            <w:tcW w:w="19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2025</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r>
      <w:tr>
        <w:trPr/>
        <w:tc>
          <w:tcPr>
            <w:tcW w:w="19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lease payments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w:t>
            </w:r>
          </w:p>
        </w:tc>
      </w:tr>
      <w:tr>
        <w:trPr/>
        <w:tc>
          <w:tcPr>
            <w:tcW w:w="19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imputed interest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19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lease liabilities</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6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97</w:t>
            </w:r>
          </w:p>
        </w:tc>
      </w:tr>
    </w:tbl>
    <w:p>
      <w:pPr>
        <w:pStyle w:val="TextBody"/>
        <w:bidi w:val="0"/>
        <w:spacing w:before="0" w:after="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5.    FAIR VALUE MEASUREMENTS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Fair value is defined as the price that would be received to sell an asset or paid to transfer a liability in an orderly transaction between market participants. Fair value of an asset or liability considers assumptions that market participants would use in pricing the asset or liability, including consideration of non-performance risk. The inputs used to determine fair values are categorized in one of the following three levels of the fair value hierarchy: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Level 1 – Quoted market prices in active markets for identical assets or liabilities.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Level 2 – Inputs, other than quoted prices in active markets, that are observable, either directly or indirectly.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Level 3 – Unobservable inputs that are not corroborated by market data.</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Unaudited Condensed Consolidated Financial Statements include financial instruments for which the fair market value of such instruments may differ from amounts reflected on a historical cost basis. Financial instruments of the Company consist of cash equivalents, which were comprised of deposits of excess cash in an unrestricted money market savings account and a certificate of deposit as of both March 31, 2023 and December 31, 2022. The carrying value of cash equivalents generally approximates fair value due to their short-term nature.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Company’s derivative liability as of March 31, 2023 and December 31, 2022 is comprised of warrants issued in connection with the registered public offering completed in August 2022 (“August 2022 Public Offering”) discussed in Note 6. The derivative liability is classified as Level 3 within the fair value hierarchy and is required to be recorded at fair value on a recurring basis. See Note 6 for further information on the fair value of the derivative liability.</w:t>
      </w:r>
    </w:p>
    <w:p>
      <w:pPr>
        <w:pStyle w:val="TextBody"/>
        <w:bidi w:val="0"/>
        <w:spacing w:before="0" w:after="240"/>
        <w:ind w:left="0" w:right="0" w:hanging="0"/>
        <w:jc w:val="both"/>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6.    COMMON STOCK, PREFERRED STOCK AND WARRANTS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 xml:space="preserve">Series B Preferred Stock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On March 23, 2023, the Board of Directors declared a dividend of one </w:t>
      </w:r>
      <w:r>
        <w:rPr>
          <w:rFonts w:ascii="Times New Roman;Times;serif" w:hAnsi="Times New Roman;Times;serif"/>
          <w:b w:val="false"/>
          <w:i w:val="false"/>
          <w:caps w:val="false"/>
          <w:smallCaps w:val="false"/>
          <w:sz w:val="20"/>
        </w:rPr>
        <w:t>one</w:t>
      </w:r>
      <w:r>
        <w:rPr>
          <w:rFonts w:ascii="Times New Roman;Times;serif" w:hAnsi="Times New Roman;Times;serif"/>
          <w:sz w:val="20"/>
        </w:rPr>
        <w:t>-thousandth of a share of Series B Preferred Stock (“Series B Preferred Stock”) for each outstanding share of Class A common stock held of record on April 3, 2023 (the “Record Date”). The value of the Series B Preferred Stock issued in connection with the stock dividend was immaterial.</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outstanding shares of Series B Preferred Stock will vote together with the outstanding shares of the Company’s Class A common stock, as a single class, exclusively with respect to a proposal giving the Board of Directors the authority, as it determines appropriate, to implement a reverse stock split within twelve months following the approval of such proposal by the Company’s stockholders (the “Reverse Stock Split Proposal”), as well as any proposal to adjourn any meeting of stockholders called for the purpose of voting on the foregoing matters (the “Adjournment Proposal”).</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No shares of Series B Preferred Stock may be transferred by the holder except in connection with a transfer by such holder of any shares of Class A common stock held by such holder.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Each share of Series B Preferred Stock will entitle the holder to 1,000,000 votes per share and each fraction of a share of Series B Preferred Stock will have a ratable number of votes. The holder of Series B Preferred Stock, as such, will not be entitled to receive dividends.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All shares of Series B Preferred Stock that are not present in person or by proxy at any meeting of stockholders held to vote on the Reverse Stock Split Proposal and the Adjournment Proposal as of immediately prior to the opening of the polls at such meeting (the “Initial Redemption Time”) will automatically be redeemed in whole, but not in part, by the Company at the Initial Redemption Time without further action on the part of the Company or the holder of shares of Series B Preferred Stock (the “Initial Redemption”).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Series B Preferred Stock is not convertible into, or exchangeable for, shares of any other class or series of stock or other securities of the Company. The Series B Preferred Stock has no stated maturity and is not subject to any sinking fund. The Series B Preferred Stock is not subject to any restriction on the redemption or repurchase of shares by the Company while there is any arrearage in the payment of dividends or sinking fund installments.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Certificate of Designation was filed with the Delaware Secretary of State and became effective on March 24, 2023.</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 xml:space="preserve">Warrants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The Company issued warrants to purchase an aggregate of 36,000,000 shares of Class A common stock (“Public Warrants”) in connection with the August 2022 Public Offering, as more fully described in the 2022 10-K. The Public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bookmarkStart w:id="573" w:name="Tc_wEmDILBlN0WkLxYwiB-4mg_7_7"/>
      <w:bookmarkStart w:id="574" w:name="Tc_cv1gfR_uEUu_unZ4u1Hw0A_7_4"/>
      <w:bookmarkStart w:id="575" w:name="Tc_Up31heaIGk6QtT6n-i4ssQ_7_0"/>
      <w:bookmarkStart w:id="576" w:name="Tc_MlfuDi7iBkWb8zOT4GP2Xg_6_7"/>
      <w:bookmarkStart w:id="577" w:name="Tc_Z_qLil4Zq0WONWkumI97Fg_6_4"/>
      <w:bookmarkStart w:id="578" w:name="Tc_ijTth5DTXke9PJLP_ldMiA_6_0"/>
      <w:bookmarkStart w:id="579" w:name="Tc_o044fbeNdEe2jXNQeEKHjA_5_7"/>
      <w:bookmarkStart w:id="580" w:name="Tc_DwEBDPh_FEaY4rwDiDnVNw_5_4"/>
      <w:bookmarkStart w:id="581" w:name="Tc_8Xw_gimgl02mNA3YEklIBQ_5_0"/>
      <w:bookmarkStart w:id="582" w:name="Tc_cifQPjb3y0KXVo7grkJgyg_4_0"/>
      <w:bookmarkStart w:id="583" w:name="Tc_LepxxdvfxkGASE13gP8CFQ_3_5"/>
      <w:bookmarkStart w:id="584" w:name="Tc_K1ZyHxi7fUWP6v0FG8dTUw_3_2"/>
      <w:bookmarkStart w:id="585" w:name="Tc_8m9hlALP5ESgsZ1t3BIpIw_3_0"/>
      <w:bookmarkStart w:id="586" w:name="Tc_oWrLrfQV_0C6BtB9bewhkQ_2_5"/>
      <w:bookmarkStart w:id="587" w:name="Tc_LkA8lyKdVkKuCifgcZkrUQ_2_2"/>
      <w:bookmarkStart w:id="588" w:name="Tc_FD6-j3RdFk-9dPsexgSm8w_1_5"/>
      <w:bookmarkStart w:id="589" w:name="Tc_iPC_5URhp06t7SWomHXfxQ_1_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r>
        <w:rPr>
          <w:rFonts w:ascii="Times New Roman;Times;serif" w:hAnsi="Times New Roman;Times;serif"/>
          <w:sz w:val="20"/>
        </w:rPr>
        <w:t>Warrants did not meet the guidance for being classified as an equity instrument due to a potential price reset prompted by a change in an unrelated instrument’s conversion rate or, in the event of a fundamental transaction, settlement rights that differ from those of the underlying common stockholders. Accordingly, the Public Warrants are being accounted for as a derivative liability instrument. The fair value of the derivative liability as of March 31, 2023 and December 31, 2022 was $5.7 million and $6.9 million, respectively. The change in the fair value of the derivative liability was recognized as a component of nonoperating income (expense) in the Company’s Unaudited Condensed Consolidated Statements of Operations and Comprehensive Loss.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fair value of the Public Warrants as of March 31, 2023 and December 31, 2022 was determined using both a Monte Carlo simulation model, which uses multiple input variables to determine the probability of the occurrence of a price reset or a fundamental transaction and the Black-Scholes option pricing model. The following table includes the share price and the inputs used to estimate the fair value of the warrants:</w:t>
      </w:r>
    </w:p>
    <w:p>
      <w:pPr>
        <w:pStyle w:val="TextBody"/>
        <w:bidi w:val="0"/>
        <w:spacing w:before="0" w:after="0"/>
        <w:ind w:left="0" w:right="0" w:hanging="0"/>
        <w:jc w:val="left"/>
        <w:rPr/>
      </w:pPr>
      <w:r>
        <w:rPr/>
        <w:t>​</w:t>
      </w:r>
    </w:p>
    <w:tbl>
      <w:tblPr>
        <w:tblW w:w="4919" w:type="dxa"/>
        <w:jc w:val="left"/>
        <w:tblInd w:w="0" w:type="dxa"/>
        <w:tblLayout w:type="fixed"/>
        <w:tblCellMar>
          <w:top w:w="0" w:type="dxa"/>
          <w:left w:w="0" w:type="dxa"/>
          <w:bottom w:w="0" w:type="dxa"/>
          <w:right w:w="0" w:type="dxa"/>
        </w:tblCellMar>
      </w:tblPr>
      <w:tblGrid>
        <w:gridCol w:w="1966"/>
        <w:gridCol w:w="326"/>
        <w:gridCol w:w="242"/>
        <w:gridCol w:w="658"/>
        <w:gridCol w:w="271"/>
        <w:gridCol w:w="307"/>
        <w:gridCol w:w="833"/>
        <w:gridCol w:w="316"/>
      </w:tblGrid>
      <w:tr>
        <w:trPr/>
        <w:tc>
          <w:tcPr>
            <w:tcW w:w="19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42" w:type="dxa"/>
            <w:tcBorders/>
            <w:vAlign w:val="center"/>
          </w:tcPr>
          <w:p>
            <w:pPr>
              <w:pStyle w:val="TableContents"/>
              <w:bidi w:val="0"/>
              <w:spacing w:before="0" w:after="1"/>
              <w:ind w:left="0" w:right="0" w:hanging="0"/>
              <w:jc w:val="left"/>
              <w:rPr/>
            </w:pPr>
            <w:r>
              <w:rPr/>
              <w:t>​</w:t>
            </w:r>
          </w:p>
        </w:tc>
        <w:tc>
          <w:tcPr>
            <w:tcW w:w="658" w:type="dxa"/>
            <w:tcBorders/>
            <w:vAlign w:val="center"/>
          </w:tcPr>
          <w:p>
            <w:pPr>
              <w:pStyle w:val="TableContents"/>
              <w:bidi w:val="0"/>
              <w:spacing w:before="0" w:after="1"/>
              <w:ind w:left="0" w:right="0" w:hanging="0"/>
              <w:jc w:val="left"/>
              <w:rPr/>
            </w:pPr>
            <w:r>
              <w:rPr/>
              <w:t>​</w:t>
            </w:r>
          </w:p>
        </w:tc>
        <w:tc>
          <w:tcPr>
            <w:tcW w:w="271" w:type="dxa"/>
            <w:tcBorders/>
            <w:vAlign w:val="center"/>
          </w:tcPr>
          <w:p>
            <w:pPr>
              <w:pStyle w:val="TableContents"/>
              <w:bidi w:val="0"/>
              <w:spacing w:before="0" w:after="1"/>
              <w:ind w:left="0" w:right="0" w:hanging="0"/>
              <w:jc w:val="left"/>
              <w:rPr/>
            </w:pPr>
            <w:r>
              <w:rPr/>
              <w:t>​</w:t>
            </w:r>
          </w:p>
        </w:tc>
        <w:tc>
          <w:tcPr>
            <w:tcW w:w="307" w:type="dxa"/>
            <w:tcBorders/>
            <w:vAlign w:val="center"/>
          </w:tcPr>
          <w:p>
            <w:pPr>
              <w:pStyle w:val="TableContents"/>
              <w:bidi w:val="0"/>
              <w:spacing w:before="0" w:after="1"/>
              <w:ind w:left="0" w:right="0" w:hanging="0"/>
              <w:jc w:val="left"/>
              <w:rPr/>
            </w:pPr>
            <w:r>
              <w:rPr/>
              <w:t>​</w:t>
            </w:r>
          </w:p>
        </w:tc>
        <w:tc>
          <w:tcPr>
            <w:tcW w:w="833" w:type="dxa"/>
            <w:tcBorders/>
            <w:vAlign w:val="center"/>
          </w:tcPr>
          <w:p>
            <w:pPr>
              <w:pStyle w:val="TableContents"/>
              <w:bidi w:val="0"/>
              <w:spacing w:before="0" w:after="1"/>
              <w:ind w:left="0" w:right="0" w:hanging="0"/>
              <w:jc w:val="left"/>
              <w:rPr/>
            </w:pPr>
            <w:r>
              <w:rPr/>
              <w:t>​</w:t>
            </w:r>
          </w:p>
        </w:tc>
        <w:tc>
          <w:tcPr>
            <w:tcW w:w="316" w:type="dxa"/>
            <w:tcBorders/>
            <w:vAlign w:val="center"/>
          </w:tcPr>
          <w:p>
            <w:pPr>
              <w:pStyle w:val="TableContents"/>
              <w:bidi w:val="0"/>
              <w:spacing w:before="0" w:after="1"/>
              <w:ind w:left="0" w:right="0" w:hanging="0"/>
              <w:jc w:val="left"/>
              <w:rPr/>
            </w:pPr>
            <w:r>
              <w:rPr/>
              <w:t>​</w:t>
            </w:r>
          </w:p>
        </w:tc>
      </w:tr>
      <w:tr>
        <w:trPr/>
        <w:tc>
          <w:tcPr>
            <w:tcW w:w="19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90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271" w:type="dxa"/>
            <w:tcBorders/>
            <w:vAlign w:val="center"/>
          </w:tcPr>
          <w:p>
            <w:pPr>
              <w:pStyle w:val="TableContents"/>
              <w:bidi w:val="0"/>
              <w:spacing w:before="0" w:after="1"/>
              <w:ind w:left="0" w:right="0" w:hanging="0"/>
              <w:jc w:val="left"/>
              <w:rPr/>
            </w:pPr>
            <w:r>
              <w:rPr/>
              <w:t>​</w:t>
            </w:r>
          </w:p>
        </w:tc>
        <w:tc>
          <w:tcPr>
            <w:tcW w:w="114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316" w:type="dxa"/>
            <w:tcBorders/>
            <w:vAlign w:val="center"/>
          </w:tcPr>
          <w:p>
            <w:pPr>
              <w:pStyle w:val="TableContents"/>
              <w:bidi w:val="0"/>
              <w:spacing w:before="0" w:after="1"/>
              <w:ind w:left="0" w:right="0" w:hanging="0"/>
              <w:jc w:val="left"/>
              <w:rPr/>
            </w:pPr>
            <w:r>
              <w:rPr/>
              <w:t> </w:t>
            </w:r>
          </w:p>
        </w:tc>
      </w:tr>
      <w:tr>
        <w:trPr/>
        <w:tc>
          <w:tcPr>
            <w:tcW w:w="19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90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271" w:type="dxa"/>
            <w:tcBorders/>
            <w:vAlign w:val="center"/>
          </w:tcPr>
          <w:p>
            <w:pPr>
              <w:pStyle w:val="TableContents"/>
              <w:bidi w:val="0"/>
              <w:spacing w:before="0" w:after="1"/>
              <w:ind w:left="0" w:right="0" w:hanging="0"/>
              <w:jc w:val="left"/>
              <w:rPr/>
            </w:pPr>
            <w:r>
              <w:rPr/>
              <w:t>​</w:t>
            </w:r>
          </w:p>
        </w:tc>
        <w:tc>
          <w:tcPr>
            <w:tcW w:w="114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16" w:type="dxa"/>
            <w:tcBorders/>
            <w:vAlign w:val="center"/>
          </w:tcPr>
          <w:p>
            <w:pPr>
              <w:pStyle w:val="TableContents"/>
              <w:bidi w:val="0"/>
              <w:spacing w:before="0" w:after="1"/>
              <w:ind w:left="0" w:right="0" w:hanging="0"/>
              <w:jc w:val="left"/>
              <w:rPr/>
            </w:pPr>
            <w:r>
              <w:rPr/>
              <w:t> </w:t>
            </w:r>
          </w:p>
        </w:tc>
      </w:tr>
      <w:tr>
        <w:trPr/>
        <w:tc>
          <w:tcPr>
            <w:tcW w:w="19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Stock price </w:t>
            </w:r>
          </w:p>
        </w:tc>
        <w:tc>
          <w:tcPr>
            <w:tcW w:w="326" w:type="dxa"/>
            <w:tcBorders/>
            <w:shd w:fill="CCEEFF" w:val="clear"/>
            <w:vAlign w:val="center"/>
          </w:tcPr>
          <w:p>
            <w:pPr>
              <w:pStyle w:val="TableContents"/>
              <w:bidi w:val="0"/>
              <w:spacing w:before="0" w:after="1"/>
              <w:ind w:left="0" w:right="0" w:hanging="0"/>
              <w:jc w:val="left"/>
              <w:rPr/>
            </w:pPr>
            <w:r>
              <w:rPr/>
              <w:t>​</w:t>
            </w:r>
          </w:p>
        </w:tc>
        <w:tc>
          <w:tcPr>
            <w:tcW w:w="24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5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0.25</w:t>
            </w:r>
          </w:p>
        </w:tc>
        <w:tc>
          <w:tcPr>
            <w:tcW w:w="271" w:type="dxa"/>
            <w:tcBorders/>
            <w:shd w:fill="CCEEFF" w:val="clear"/>
            <w:vAlign w:val="center"/>
          </w:tcPr>
          <w:p>
            <w:pPr>
              <w:pStyle w:val="TableContents"/>
              <w:bidi w:val="0"/>
              <w:spacing w:before="0" w:after="1"/>
              <w:ind w:left="0" w:right="0" w:hanging="0"/>
              <w:jc w:val="left"/>
              <w:rPr/>
            </w:pPr>
            <w:r>
              <w:rPr/>
              <w:t>​</w:t>
            </w:r>
          </w:p>
        </w:tc>
        <w:tc>
          <w:tcPr>
            <w:tcW w:w="30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3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0.31</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19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Warrant term (in years)</w:t>
            </w:r>
          </w:p>
        </w:tc>
        <w:tc>
          <w:tcPr>
            <w:tcW w:w="326" w:type="dxa"/>
            <w:tcBorders/>
            <w:vAlign w:val="center"/>
          </w:tcPr>
          <w:p>
            <w:pPr>
              <w:pStyle w:val="TableContents"/>
              <w:bidi w:val="0"/>
              <w:spacing w:before="0" w:after="1"/>
              <w:ind w:left="0" w:right="0" w:hanging="0"/>
              <w:jc w:val="left"/>
              <w:rPr/>
            </w:pPr>
            <w:r>
              <w:rPr/>
              <w:t>​</w:t>
            </w:r>
          </w:p>
        </w:tc>
        <w:tc>
          <w:tcPr>
            <w:tcW w:w="242" w:type="dxa"/>
            <w:tcBorders/>
            <w:vAlign w:val="center"/>
          </w:tcPr>
          <w:p>
            <w:pPr>
              <w:pStyle w:val="TableContents"/>
              <w:bidi w:val="0"/>
              <w:spacing w:before="0" w:after="1"/>
              <w:ind w:left="0" w:right="0" w:hanging="0"/>
              <w:jc w:val="left"/>
              <w:rPr/>
            </w:pPr>
            <w:r>
              <w:rPr/>
              <w:t> </w:t>
            </w:r>
          </w:p>
        </w:tc>
        <w:tc>
          <w:tcPr>
            <w:tcW w:w="658" w:type="dxa"/>
            <w:tcBorders/>
            <w:vAlign w:val="center"/>
          </w:tcPr>
          <w:p>
            <w:pPr>
              <w:pStyle w:val="TableContents"/>
              <w:bidi w:val="0"/>
              <w:spacing w:before="0" w:after="1"/>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4.36</w:t>
            </w:r>
          </w:p>
        </w:tc>
        <w:tc>
          <w:tcPr>
            <w:tcW w:w="271" w:type="dxa"/>
            <w:tcBorders/>
            <w:vAlign w:val="center"/>
          </w:tcPr>
          <w:p>
            <w:pPr>
              <w:pStyle w:val="TableContents"/>
              <w:bidi w:val="0"/>
              <w:spacing w:before="0" w:after="1"/>
              <w:ind w:left="0" w:right="0" w:hanging="0"/>
              <w:jc w:val="left"/>
              <w:rPr/>
            </w:pPr>
            <w:r>
              <w:rPr/>
              <w:t>​</w:t>
            </w:r>
          </w:p>
        </w:tc>
        <w:tc>
          <w:tcPr>
            <w:tcW w:w="307" w:type="dxa"/>
            <w:tcBorders/>
            <w:vAlign w:val="center"/>
          </w:tcPr>
          <w:p>
            <w:pPr>
              <w:pStyle w:val="TableContents"/>
              <w:bidi w:val="0"/>
              <w:spacing w:before="0" w:after="1"/>
              <w:ind w:left="0" w:right="0" w:hanging="0"/>
              <w:jc w:val="left"/>
              <w:rPr/>
            </w:pPr>
            <w:r>
              <w:rPr/>
              <w:t> </w:t>
            </w:r>
          </w:p>
        </w:tc>
        <w:tc>
          <w:tcPr>
            <w:tcW w:w="833" w:type="dxa"/>
            <w:tcBorders/>
            <w:vAlign w:val="center"/>
          </w:tcPr>
          <w:p>
            <w:pPr>
              <w:pStyle w:val="TableContents"/>
              <w:bidi w:val="0"/>
              <w:spacing w:before="0" w:after="1"/>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4.61</w:t>
            </w:r>
          </w:p>
        </w:tc>
        <w:tc>
          <w:tcPr>
            <w:tcW w:w="316" w:type="dxa"/>
            <w:tcBorders/>
            <w:vAlign w:val="center"/>
          </w:tcPr>
          <w:p>
            <w:pPr>
              <w:pStyle w:val="TableContents"/>
              <w:bidi w:val="0"/>
              <w:spacing w:before="0" w:after="1"/>
              <w:ind w:left="0" w:right="0" w:hanging="0"/>
              <w:jc w:val="left"/>
              <w:rPr/>
            </w:pPr>
            <w:r>
              <w:rPr/>
              <w:t>​</w:t>
            </w:r>
          </w:p>
        </w:tc>
      </w:tr>
      <w:tr>
        <w:trPr/>
        <w:tc>
          <w:tcPr>
            <w:tcW w:w="19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Expected volatility</w:t>
            </w:r>
          </w:p>
        </w:tc>
        <w:tc>
          <w:tcPr>
            <w:tcW w:w="326" w:type="dxa"/>
            <w:tcBorders/>
            <w:shd w:fill="CCEEFF" w:val="clear"/>
            <w:vAlign w:val="center"/>
          </w:tcPr>
          <w:p>
            <w:pPr>
              <w:pStyle w:val="TableContents"/>
              <w:bidi w:val="0"/>
              <w:spacing w:before="0" w:after="1"/>
              <w:ind w:left="0" w:right="0" w:hanging="0"/>
              <w:jc w:val="left"/>
              <w:rPr/>
            </w:pPr>
            <w:r>
              <w:rPr/>
              <w:t>​</w:t>
            </w:r>
          </w:p>
        </w:tc>
        <w:tc>
          <w:tcPr>
            <w:tcW w:w="242" w:type="dxa"/>
            <w:tcBorders/>
            <w:shd w:fill="CCEEFF" w:val="clear"/>
            <w:vAlign w:val="center"/>
          </w:tcPr>
          <w:p>
            <w:pPr>
              <w:pStyle w:val="TableContents"/>
              <w:bidi w:val="0"/>
              <w:spacing w:before="0" w:after="1"/>
              <w:ind w:left="0" w:right="0" w:hanging="0"/>
              <w:jc w:val="left"/>
              <w:rPr/>
            </w:pPr>
            <w:r>
              <w:rPr/>
              <w:t> </w:t>
            </w:r>
          </w:p>
        </w:tc>
        <w:tc>
          <w:tcPr>
            <w:tcW w:w="65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83.70</w:t>
            </w:r>
          </w:p>
        </w:tc>
        <w:tc>
          <w:tcPr>
            <w:tcW w:w="2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07" w:type="dxa"/>
            <w:tcBorders/>
            <w:shd w:fill="CCEEFF" w:val="clear"/>
            <w:vAlign w:val="center"/>
          </w:tcPr>
          <w:p>
            <w:pPr>
              <w:pStyle w:val="TableContents"/>
              <w:bidi w:val="0"/>
              <w:spacing w:before="0" w:after="1"/>
              <w:ind w:left="0" w:right="0" w:hanging="0"/>
              <w:jc w:val="left"/>
              <w:rPr/>
            </w:pPr>
            <w:r>
              <w:rPr/>
              <w:t> </w:t>
            </w:r>
          </w:p>
        </w:tc>
        <w:tc>
          <w:tcPr>
            <w:tcW w:w="83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80.90</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9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Risk-free interest rate</w:t>
            </w:r>
          </w:p>
        </w:tc>
        <w:tc>
          <w:tcPr>
            <w:tcW w:w="326" w:type="dxa"/>
            <w:tcBorders/>
            <w:vAlign w:val="center"/>
          </w:tcPr>
          <w:p>
            <w:pPr>
              <w:pStyle w:val="TableContents"/>
              <w:bidi w:val="0"/>
              <w:spacing w:before="0" w:after="1"/>
              <w:ind w:left="0" w:right="0" w:hanging="0"/>
              <w:jc w:val="left"/>
              <w:rPr/>
            </w:pPr>
            <w:r>
              <w:rPr/>
              <w:t>​</w:t>
            </w:r>
          </w:p>
        </w:tc>
        <w:tc>
          <w:tcPr>
            <w:tcW w:w="242" w:type="dxa"/>
            <w:tcBorders/>
            <w:vAlign w:val="center"/>
          </w:tcPr>
          <w:p>
            <w:pPr>
              <w:pStyle w:val="TableContents"/>
              <w:bidi w:val="0"/>
              <w:spacing w:before="0" w:after="1"/>
              <w:ind w:left="0" w:right="0" w:hanging="0"/>
              <w:jc w:val="left"/>
              <w:rPr/>
            </w:pPr>
            <w:r>
              <w:rPr/>
              <w:t> </w:t>
            </w:r>
          </w:p>
        </w:tc>
        <w:tc>
          <w:tcPr>
            <w:tcW w:w="65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3.67</w:t>
            </w:r>
          </w:p>
        </w:tc>
        <w:tc>
          <w:tcPr>
            <w:tcW w:w="2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07" w:type="dxa"/>
            <w:tcBorders/>
            <w:vAlign w:val="center"/>
          </w:tcPr>
          <w:p>
            <w:pPr>
              <w:pStyle w:val="TableContents"/>
              <w:bidi w:val="0"/>
              <w:spacing w:before="0" w:after="1"/>
              <w:ind w:left="0" w:right="0" w:hanging="0"/>
              <w:jc w:val="left"/>
              <w:rPr/>
            </w:pPr>
            <w:r>
              <w:rPr/>
              <w:t> </w:t>
            </w:r>
          </w:p>
        </w:tc>
        <w:tc>
          <w:tcPr>
            <w:tcW w:w="83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4.04</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9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Dividend rate</w:t>
            </w:r>
          </w:p>
        </w:tc>
        <w:tc>
          <w:tcPr>
            <w:tcW w:w="326" w:type="dxa"/>
            <w:tcBorders/>
            <w:shd w:fill="CCEEFF" w:val="clear"/>
            <w:vAlign w:val="center"/>
          </w:tcPr>
          <w:p>
            <w:pPr>
              <w:pStyle w:val="TableContents"/>
              <w:bidi w:val="0"/>
              <w:spacing w:before="0" w:after="1"/>
              <w:ind w:left="0" w:right="0" w:hanging="0"/>
              <w:jc w:val="left"/>
              <w:rPr/>
            </w:pPr>
            <w:r>
              <w:rPr/>
              <w:t>​</w:t>
            </w:r>
          </w:p>
        </w:tc>
        <w:tc>
          <w:tcPr>
            <w:tcW w:w="242" w:type="dxa"/>
            <w:tcBorders/>
            <w:shd w:fill="CCEEFF" w:val="clear"/>
            <w:vAlign w:val="center"/>
          </w:tcPr>
          <w:p>
            <w:pPr>
              <w:pStyle w:val="TableContents"/>
              <w:bidi w:val="0"/>
              <w:spacing w:before="0" w:after="1"/>
              <w:ind w:left="0" w:right="0" w:hanging="0"/>
              <w:jc w:val="left"/>
              <w:rPr/>
            </w:pPr>
            <w:r>
              <w:rPr/>
              <w:t> </w:t>
            </w:r>
          </w:p>
        </w:tc>
        <w:tc>
          <w:tcPr>
            <w:tcW w:w="65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0.00</w:t>
            </w:r>
          </w:p>
        </w:tc>
        <w:tc>
          <w:tcPr>
            <w:tcW w:w="2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07" w:type="dxa"/>
            <w:tcBorders/>
            <w:shd w:fill="CCEEFF" w:val="clear"/>
            <w:vAlign w:val="center"/>
          </w:tcPr>
          <w:p>
            <w:pPr>
              <w:pStyle w:val="TableContents"/>
              <w:bidi w:val="0"/>
              <w:spacing w:before="0" w:after="1"/>
              <w:ind w:left="0" w:right="0" w:hanging="0"/>
              <w:jc w:val="left"/>
              <w:rPr/>
            </w:pPr>
            <w:r>
              <w:rPr/>
              <w:t> </w:t>
            </w:r>
          </w:p>
        </w:tc>
        <w:tc>
          <w:tcPr>
            <w:tcW w:w="83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0.00</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240" w:after="240"/>
        <w:ind w:left="0" w:right="0" w:hanging="0"/>
        <w:jc w:val="left"/>
        <w:rPr>
          <w:rFonts w:ascii="Times New Roman;Times;serif" w:hAnsi="Times New Roman;Times;serif"/>
          <w:sz w:val="20"/>
        </w:rPr>
      </w:pPr>
      <w:r>
        <w:rPr>
          <w:rFonts w:ascii="Times New Roman;Times;serif" w:hAnsi="Times New Roman;Times;serif"/>
          <w:sz w:val="20"/>
        </w:rPr>
        <w:t xml:space="preserve">The 36,000,000 of outstanding liability classified Public Warrants have an exercise price of $0.75 per share, are exercisable upon issuance and will expire five years following the date of issuance. No Public Warrants were exercised or </w:t>
      </w:r>
      <w:r>
        <w:rPr>
          <w:rFonts w:ascii="Times New Roman;Times;serif" w:hAnsi="Times New Roman;Times;serif"/>
          <w:b w:val="false"/>
          <w:i w:val="false"/>
          <w:caps w:val="false"/>
          <w:smallCaps w:val="false"/>
          <w:sz w:val="20"/>
        </w:rPr>
        <w:t>cancelled</w:t>
      </w:r>
      <w:r>
        <w:rPr>
          <w:rFonts w:ascii="Times New Roman;Times;serif" w:hAnsi="Times New Roman;Times;serif"/>
          <w:sz w:val="20"/>
        </w:rPr>
        <w:t xml:space="preserve"> during the three months ended March 31, 2023.</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The Company has outstanding equity-classified warrants to purchase 593,924 shares of Class A common stock at a weighted average exercise price of $16.32, with expiration dates ranging from October 2023 to February 2026. During the three months ended March 31, 2023, no warrants were </w:t>
      </w:r>
      <w:r>
        <w:rPr>
          <w:rFonts w:ascii="Times New Roman;Times;serif" w:hAnsi="Times New Roman;Times;serif"/>
          <w:b w:val="false"/>
          <w:i w:val="false"/>
          <w:caps w:val="false"/>
          <w:smallCaps w:val="false"/>
          <w:sz w:val="20"/>
        </w:rPr>
        <w:t>exercised</w:t>
      </w:r>
      <w:r>
        <w:rPr>
          <w:rFonts w:ascii="Times New Roman;Times;serif" w:hAnsi="Times New Roman;Times;serif"/>
          <w:sz w:val="20"/>
        </w:rPr>
        <w:t xml:space="preserve"> or cancelled.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7.    STOCK-BASED COMPENSATION</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val="false"/>
          <w:caps w:val="false"/>
          <w:smallCaps w:val="false"/>
          <w:sz w:val="20"/>
        </w:rPr>
        <w:t>The Company may issue stock-based compensation awards under The Helius Medical Technologies, Inc. 2022 Equity Incentive Plan (“2022 Plan”) or the Helius Medical Technologies, Inc. 2021 Inducement Plan (as amended, the “Inducement Plan”), as described more fully in the 2022 10-K. On January 1, 2023, pursuant to the automatic increase provision of the 2022 Plan, the number of shares authorized for issuance increased from the initial 1,121,272</w:t>
      </w:r>
      <w:r>
        <w:rPr>
          <w:rFonts w:ascii="Times New Roman;Times;serif" w:hAnsi="Times New Roman;Times;serif"/>
          <w:i/>
          <w:caps w:val="false"/>
          <w:smallCaps w:val="false"/>
          <w:sz w:val="20"/>
        </w:rPr>
        <w:t xml:space="preserve"> </w:t>
      </w:r>
      <w:r>
        <w:rPr>
          <w:rFonts w:ascii="Times New Roman;Times;serif" w:hAnsi="Times New Roman;Times;serif"/>
          <w:i w:val="false"/>
          <w:caps w:val="false"/>
          <w:smallCaps w:val="false"/>
          <w:sz w:val="20"/>
        </w:rPr>
        <w:t>to 13,215,973. As of March 31, 2023, the remaining shares available for grant were 2,195,103</w:t>
      </w:r>
      <w:r>
        <w:rPr>
          <w:rFonts w:ascii="Times New Roman;Times;serif" w:hAnsi="Times New Roman;Times;serif"/>
          <w:i/>
          <w:caps w:val="false"/>
          <w:smallCaps w:val="false"/>
          <w:sz w:val="20"/>
        </w:rPr>
        <w:t xml:space="preserve"> </w:t>
      </w:r>
      <w:r>
        <w:rPr>
          <w:rFonts w:ascii="Times New Roman;Times;serif" w:hAnsi="Times New Roman;Times;serif"/>
          <w:i w:val="false"/>
          <w:caps w:val="false"/>
          <w:smallCaps w:val="false"/>
          <w:sz w:val="20"/>
        </w:rPr>
        <w:t>under the 2022 Plan and 474,375</w:t>
      </w:r>
      <w:r>
        <w:rPr>
          <w:rFonts w:ascii="Times New Roman;Times;serif" w:hAnsi="Times New Roman;Times;serif"/>
          <w:i/>
          <w:caps w:val="false"/>
          <w:smallCaps w:val="false"/>
          <w:sz w:val="20"/>
        </w:rPr>
        <w:t xml:space="preserve"> </w:t>
      </w:r>
      <w:r>
        <w:rPr>
          <w:rFonts w:ascii="Times New Roman;Times;serif" w:hAnsi="Times New Roman;Times;serif"/>
          <w:i w:val="false"/>
          <w:caps w:val="false"/>
          <w:smallCaps w:val="false"/>
          <w:sz w:val="20"/>
        </w:rPr>
        <w:t>under the Inducement Plan.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During the three months ended March 31, 2023, the Company granted 9,949,000 stock options out of the 2022 Plan at a weighted average exercise price of $0.31 per share. The options vest over three years and expire ten years after the grant date. As of March 31, 2023, there were an aggregate of 11,122,299 stock options outstanding with a weighted average exercise price of $1.70 per share and 2,016 unvested restricted stock units outstanding with a weighted average grant date fair value of $1.40 per share.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pPr>
      <w:bookmarkStart w:id="590" w:name="Tc_Al8ermkuYEKPlxtyBM4tOg_7_5"/>
      <w:bookmarkStart w:id="591" w:name="Tc_CweBL2KUEkqrg14Um6Y5yw_7_2"/>
      <w:bookmarkStart w:id="592" w:name="Tc_MbtqobLdcUWXkkVgZ8wWkg_7_0"/>
      <w:bookmarkStart w:id="593" w:name="Tc_vCmZYazzxUGlXlYG3nPc1w_6_0"/>
      <w:bookmarkStart w:id="594" w:name="Tc_KMgn2O5jSU-tekXKbCg49A_5_0"/>
      <w:bookmarkStart w:id="595" w:name="Tc_Y1__LCWdSEyD4HFAk45_qw_4_5"/>
      <w:bookmarkStart w:id="596" w:name="Tc_Wt705o5NwkuswJaTSs1h7w_4_2"/>
      <w:bookmarkStart w:id="597" w:name="Tc_x02yykGxdUyHue47INY5Xg_4_0"/>
      <w:bookmarkStart w:id="598" w:name="Tc_OOq9s_Cm7k27rlgxRkrQTw_3_5"/>
      <w:bookmarkStart w:id="599" w:name="Tc_CCAXj-gP3Uaw4sS92wBYLQ_3_2"/>
      <w:bookmarkStart w:id="600" w:name="Tc_BnAEtf9XX0-r-6TvEkvoJg_2_2"/>
      <w:bookmarkStart w:id="601" w:name="Tc_tUWxpUKWyUiypzNNSdv3cA_1_2"/>
      <w:bookmarkStart w:id="602" w:name="Tc__gJ0iTACkEK34yZLFQHeZQ_7_5"/>
      <w:bookmarkStart w:id="603" w:name="Tc_fpeqR7sOb0ON-mdTKWwKlw_7_2"/>
      <w:bookmarkStart w:id="604" w:name="Tc_1gw8lpofiESyoqgWtzzACQ_7_0"/>
      <w:bookmarkStart w:id="605" w:name="Tc_a3gj0qkBKUO6RJ4BjbkKQQ_6_7"/>
      <w:bookmarkStart w:id="606" w:name="Tc_mY6DVuystUKkfYHiBSUosg_6_4"/>
      <w:bookmarkStart w:id="607" w:name="Tc_yXj_Mx9NeUqXp3aWU9i3WA_6_0"/>
      <w:bookmarkStart w:id="608" w:name="Tc_mZn_v6mLAUuGRq6uryQVFg_5_0"/>
      <w:bookmarkStart w:id="609" w:name="Tc_2_NlEqKL30arhFIlTgTW7A_4_7"/>
      <w:bookmarkStart w:id="610" w:name="Tc_X_MefkAazk-Yp1PkVTyg9g_4_4"/>
      <w:bookmarkStart w:id="611" w:name="Tc_8kqjVSReRkK2aF5VGTbMBw_4_0"/>
      <w:bookmarkStart w:id="612" w:name="Tc_839KBcRe70K0J3gRIqme7w_3_7"/>
      <w:bookmarkStart w:id="613" w:name="Tc_hPKVRYivBU6FffGv_nrSpA_3_4"/>
      <w:bookmarkStart w:id="614" w:name="Tc_goyWtdgThEWOB0jPEPk-2A_3_0"/>
      <w:bookmarkStart w:id="615" w:name="Tc_apmbKgthrESI4y9vKXfy3g_2_5"/>
      <w:bookmarkStart w:id="616" w:name="Tc_OPQuYP8X602FxHmqKRmHVw_2_2"/>
      <w:bookmarkStart w:id="617" w:name="Tc_8sO2572TGk6N-5jh4MjdVA_1_2"/>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following table includes the weighted-average assumptions used in the Black-Scholes option pricing model and the related weighted-average grant-date fair values of stock options granted during the periods indicated:</w:t>
      </w:r>
    </w:p>
    <w:p>
      <w:pPr>
        <w:pStyle w:val="TextBody"/>
        <w:bidi w:val="0"/>
        <w:spacing w:before="0" w:after="240"/>
        <w:ind w:left="0" w:right="0" w:hanging="0"/>
        <w:jc w:val="both"/>
        <w:rPr/>
      </w:pPr>
      <w:r>
        <w:rPr/>
        <w:t>​</w:t>
      </w:r>
    </w:p>
    <w:tbl>
      <w:tblPr>
        <w:tblW w:w="5217" w:type="dxa"/>
        <w:jc w:val="left"/>
        <w:tblInd w:w="0" w:type="dxa"/>
        <w:tblLayout w:type="fixed"/>
        <w:tblCellMar>
          <w:top w:w="0" w:type="dxa"/>
          <w:left w:w="0" w:type="dxa"/>
          <w:bottom w:w="0" w:type="dxa"/>
          <w:right w:w="0" w:type="dxa"/>
        </w:tblCellMar>
      </w:tblPr>
      <w:tblGrid>
        <w:gridCol w:w="2131"/>
        <w:gridCol w:w="326"/>
        <w:gridCol w:w="268"/>
        <w:gridCol w:w="725"/>
        <w:gridCol w:w="458"/>
        <w:gridCol w:w="268"/>
        <w:gridCol w:w="725"/>
        <w:gridCol w:w="316"/>
      </w:tblGrid>
      <w:tr>
        <w:trPr/>
        <w:tc>
          <w:tcPr>
            <w:tcW w:w="21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1353185" cy="175260"/>
                      <wp:effectExtent l="0" t="0" r="0" b="0"/>
                      <wp:wrapNone/>
                      <wp:docPr id="68" name="Frame68"/>
                      <a:graphic xmlns:a="http://schemas.openxmlformats.org/drawingml/2006/main">
                        <a:graphicData uri="http://schemas.microsoft.com/office/word/2010/wordprocessingShape">
                          <wps:wsp>
                            <wps:cNvSpPr txBox="1"/>
                            <wps:spPr>
                              <a:xfrm>
                                <a:off x="0" y="0"/>
                                <a:ext cx="1353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207010" cy="175260"/>
                      <wp:effectExtent l="0" t="0" r="0" b="0"/>
                      <wp:wrapNone/>
                      <wp:docPr id="69" name="Frame6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170180" cy="175260"/>
                      <wp:effectExtent l="0" t="0" r="0" b="0"/>
                      <wp:wrapNone/>
                      <wp:docPr id="70" name="Frame70"/>
                      <a:graphic xmlns:a="http://schemas.openxmlformats.org/drawingml/2006/main">
                        <a:graphicData uri="http://schemas.microsoft.com/office/word/2010/wordprocessingShape">
                          <wps:wsp>
                            <wps:cNvSpPr txBox="1"/>
                            <wps:spPr>
                              <a:xfrm>
                                <a:off x="0" y="0"/>
                                <a:ext cx="1701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460375" cy="175260"/>
                      <wp:effectExtent l="0" t="0" r="0" b="0"/>
                      <wp:wrapNone/>
                      <wp:docPr id="71" name="Frame71"/>
                      <a:graphic xmlns:a="http://schemas.openxmlformats.org/drawingml/2006/main">
                        <a:graphicData uri="http://schemas.microsoft.com/office/word/2010/wordprocessingShape">
                          <wps:wsp>
                            <wps:cNvSpPr txBox="1"/>
                            <wps:spPr>
                              <a:xfrm>
                                <a:off x="0" y="0"/>
                                <a:ext cx="4603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290830" cy="175260"/>
                      <wp:effectExtent l="0" t="0" r="0" b="0"/>
                      <wp:wrapNone/>
                      <wp:docPr id="72" name="Frame72"/>
                      <a:graphic xmlns:a="http://schemas.openxmlformats.org/drawingml/2006/main">
                        <a:graphicData uri="http://schemas.microsoft.com/office/word/2010/wordprocessingShape">
                          <wps:wsp>
                            <wps:cNvSpPr txBox="1"/>
                            <wps:spPr>
                              <a:xfrm>
                                <a:off x="0" y="0"/>
                                <a:ext cx="2908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170180" cy="175260"/>
                      <wp:effectExtent l="0" t="0" r="0" b="0"/>
                      <wp:wrapNone/>
                      <wp:docPr id="73" name="Frame73"/>
                      <a:graphic xmlns:a="http://schemas.openxmlformats.org/drawingml/2006/main">
                        <a:graphicData uri="http://schemas.microsoft.com/office/word/2010/wordprocessingShape">
                          <wps:wsp>
                            <wps:cNvSpPr txBox="1"/>
                            <wps:spPr>
                              <a:xfrm>
                                <a:off x="0" y="0"/>
                                <a:ext cx="1701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460375" cy="175260"/>
                      <wp:effectExtent l="0" t="0" r="0" b="0"/>
                      <wp:wrapNone/>
                      <wp:docPr id="74" name="Frame74"/>
                      <a:graphic xmlns:a="http://schemas.openxmlformats.org/drawingml/2006/main">
                        <a:graphicData uri="http://schemas.microsoft.com/office/word/2010/wordprocessingShape">
                          <wps:wsp>
                            <wps:cNvSpPr txBox="1"/>
                            <wps:spPr>
                              <a:xfrm>
                                <a:off x="0" y="0"/>
                                <a:ext cx="4603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200660" cy="175260"/>
                      <wp:effectExtent l="0" t="0" r="0" b="0"/>
                      <wp:wrapNone/>
                      <wp:docPr id="75" name="Frame75"/>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1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244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March 31, </w:t>
            </w:r>
          </w:p>
        </w:tc>
        <w:tc>
          <w:tcPr>
            <w:tcW w:w="316" w:type="dxa"/>
            <w:tcBorders/>
            <w:vAlign w:val="center"/>
          </w:tcPr>
          <w:p>
            <w:pPr>
              <w:pStyle w:val="TableContents"/>
              <w:bidi w:val="0"/>
              <w:spacing w:before="0" w:after="0"/>
              <w:ind w:left="0" w:right="0" w:hanging="0"/>
              <w:jc w:val="center"/>
              <w:rPr/>
            </w:pPr>
            <w:r>
              <w:rPr/>
              <w:t> </w:t>
            </w:r>
          </w:p>
        </w:tc>
      </w:tr>
      <w:tr>
        <w:trPr/>
        <w:tc>
          <w:tcPr>
            <w:tcW w:w="21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9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458" w:type="dxa"/>
            <w:tcBorders/>
            <w:vAlign w:val="center"/>
          </w:tcPr>
          <w:p>
            <w:pPr>
              <w:pStyle w:val="TableContents"/>
              <w:bidi w:val="0"/>
              <w:spacing w:before="0" w:after="0"/>
              <w:ind w:left="0" w:right="0" w:hanging="0"/>
              <w:jc w:val="left"/>
              <w:rPr/>
            </w:pPr>
            <w:r>
              <w:rPr/>
              <w:t>    </w:t>
            </w:r>
          </w:p>
        </w:tc>
        <w:tc>
          <w:tcPr>
            <w:tcW w:w="99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16" w:type="dxa"/>
            <w:tcBorders/>
            <w:vAlign w:val="center"/>
          </w:tcPr>
          <w:p>
            <w:pPr>
              <w:pStyle w:val="TableContents"/>
              <w:bidi w:val="0"/>
              <w:spacing w:before="0" w:after="0"/>
              <w:ind w:left="0" w:right="0" w:hanging="0"/>
              <w:jc w:val="left"/>
              <w:rPr/>
            </w:pPr>
            <w:r>
              <w:rPr/>
              <w:t>​</w:t>
            </w:r>
          </w:p>
        </w:tc>
      </w:tr>
      <w:tr>
        <w:trPr/>
        <w:tc>
          <w:tcPr>
            <w:tcW w:w="21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Risk-free interest rate</w:t>
            </w:r>
          </w:p>
        </w:tc>
        <w:tc>
          <w:tcPr>
            <w:tcW w:w="326" w:type="dxa"/>
            <w:tcBorders/>
            <w:shd w:fill="CCEEFF" w:val="clear"/>
            <w:vAlign w:val="center"/>
          </w:tcPr>
          <w:p>
            <w:pPr>
              <w:pStyle w:val="TableContents"/>
              <w:bidi w:val="0"/>
              <w:spacing w:before="0" w:after="0"/>
              <w:ind w:left="0" w:right="0" w:hanging="0"/>
              <w:jc w:val="left"/>
              <w:rPr/>
            </w:pPr>
            <w:r>
              <w:rPr/>
              <w:t>​</w:t>
            </w:r>
          </w:p>
        </w:tc>
        <w:tc>
          <w:tcPr>
            <w:tcW w:w="268" w:type="dxa"/>
            <w:tcBorders/>
            <w:shd w:fill="CCEEFF" w:val="clear"/>
            <w:vAlign w:val="center"/>
          </w:tcPr>
          <w:p>
            <w:pPr>
              <w:pStyle w:val="TableContents"/>
              <w:bidi w:val="0"/>
              <w:spacing w:before="0" w:after="0"/>
              <w:ind w:left="0" w:right="0" w:hanging="0"/>
              <w:jc w:val="left"/>
              <w:rPr/>
            </w:pPr>
            <w:r>
              <w:rPr/>
              <w:t> </w:t>
            </w:r>
          </w:p>
        </w:tc>
        <w:tc>
          <w:tcPr>
            <w:tcW w:w="72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3.95</w:t>
            </w:r>
          </w:p>
        </w:tc>
        <w:tc>
          <w:tcPr>
            <w:tcW w:w="45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68" w:type="dxa"/>
            <w:tcBorders/>
            <w:shd w:fill="CCEEFF" w:val="clear"/>
            <w:vAlign w:val="center"/>
          </w:tcPr>
          <w:p>
            <w:pPr>
              <w:pStyle w:val="TableContents"/>
              <w:bidi w:val="0"/>
              <w:spacing w:before="0" w:after="0"/>
              <w:ind w:left="0" w:right="0" w:hanging="0"/>
              <w:jc w:val="left"/>
              <w:rPr/>
            </w:pPr>
            <w:r>
              <w:rPr/>
              <w:t>​</w:t>
            </w:r>
          </w:p>
        </w:tc>
        <w:tc>
          <w:tcPr>
            <w:tcW w:w="72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1.95</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1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Expected volatility</w:t>
            </w:r>
          </w:p>
        </w:tc>
        <w:tc>
          <w:tcPr>
            <w:tcW w:w="326" w:type="dxa"/>
            <w:tcBorders/>
            <w:vAlign w:val="center"/>
          </w:tcPr>
          <w:p>
            <w:pPr>
              <w:pStyle w:val="TableContents"/>
              <w:bidi w:val="0"/>
              <w:spacing w:before="0" w:after="0"/>
              <w:ind w:left="0" w:right="0" w:hanging="0"/>
              <w:jc w:val="left"/>
              <w:rPr/>
            </w:pPr>
            <w:r>
              <w:rPr/>
              <w:t>​</w:t>
            </w:r>
          </w:p>
        </w:tc>
        <w:tc>
          <w:tcPr>
            <w:tcW w:w="268" w:type="dxa"/>
            <w:tcBorders/>
            <w:vAlign w:val="center"/>
          </w:tcPr>
          <w:p>
            <w:pPr>
              <w:pStyle w:val="TableContents"/>
              <w:bidi w:val="0"/>
              <w:spacing w:before="0" w:after="0"/>
              <w:ind w:left="0" w:right="0" w:hanging="0"/>
              <w:jc w:val="left"/>
              <w:rPr/>
            </w:pPr>
            <w:r>
              <w:rPr/>
              <w:t> </w:t>
            </w:r>
          </w:p>
        </w:tc>
        <w:tc>
          <w:tcPr>
            <w:tcW w:w="72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79.47</w:t>
            </w:r>
          </w:p>
        </w:tc>
        <w:tc>
          <w:tcPr>
            <w:tcW w:w="458" w:type="dxa"/>
            <w:tcBorders/>
            <w:vAlign w:val="center"/>
          </w:tcPr>
          <w:p>
            <w:pPr>
              <w:pStyle w:val="TableContents"/>
              <w:bidi w:val="0"/>
              <w:spacing w:before="0" w:after="0"/>
              <w:ind w:left="0" w:right="0" w:hanging="0"/>
              <w:jc w:val="left"/>
              <w:rPr>
                <w:rFonts w:ascii="Calibri;Helvetica;sans-serif" w:hAnsi="Calibri;Helvetica;sans-serif"/>
                <w:sz w:val="20"/>
              </w:rPr>
            </w:pPr>
            <w:r>
              <w:rPr>
                <w:rFonts w:ascii="Calibri;Helvetica;sans-serif" w:hAnsi="Calibri;Helvetica;sans-serif"/>
                <w:sz w:val="20"/>
              </w:rPr>
              <w:t>%</w:t>
            </w:r>
          </w:p>
        </w:tc>
        <w:tc>
          <w:tcPr>
            <w:tcW w:w="268" w:type="dxa"/>
            <w:tcBorders/>
            <w:vAlign w:val="center"/>
          </w:tcPr>
          <w:p>
            <w:pPr>
              <w:pStyle w:val="TableContents"/>
              <w:bidi w:val="0"/>
              <w:spacing w:before="0" w:after="0"/>
              <w:ind w:left="0" w:right="0" w:hanging="0"/>
              <w:jc w:val="left"/>
              <w:rPr/>
            </w:pPr>
            <w:r>
              <w:rPr/>
              <w:t> </w:t>
            </w:r>
          </w:p>
        </w:tc>
        <w:tc>
          <w:tcPr>
            <w:tcW w:w="72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73.53</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1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Expected term (years)</w:t>
            </w:r>
          </w:p>
        </w:tc>
        <w:tc>
          <w:tcPr>
            <w:tcW w:w="326" w:type="dxa"/>
            <w:tcBorders/>
            <w:shd w:fill="CCEEFF" w:val="clear"/>
            <w:vAlign w:val="center"/>
          </w:tcPr>
          <w:p>
            <w:pPr>
              <w:pStyle w:val="TableContents"/>
              <w:bidi w:val="0"/>
              <w:spacing w:before="0" w:after="0"/>
              <w:ind w:left="0" w:right="0" w:hanging="0"/>
              <w:jc w:val="left"/>
              <w:rPr/>
            </w:pPr>
            <w:r>
              <w:rPr/>
              <w:t>​</w:t>
            </w:r>
          </w:p>
        </w:tc>
        <w:tc>
          <w:tcPr>
            <w:tcW w:w="268" w:type="dxa"/>
            <w:tcBorders/>
            <w:shd w:fill="CCEEFF" w:val="clear"/>
            <w:vAlign w:val="center"/>
          </w:tcPr>
          <w:p>
            <w:pPr>
              <w:pStyle w:val="TableContents"/>
              <w:bidi w:val="0"/>
              <w:spacing w:before="0" w:after="0"/>
              <w:ind w:left="0" w:right="0" w:hanging="0"/>
              <w:jc w:val="left"/>
              <w:rPr/>
            </w:pPr>
            <w:r>
              <w:rPr/>
              <w:t> </w:t>
            </w:r>
          </w:p>
        </w:tc>
        <w:tc>
          <w:tcPr>
            <w:tcW w:w="72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5.75</w:t>
            </w:r>
          </w:p>
        </w:tc>
        <w:tc>
          <w:tcPr>
            <w:tcW w:w="458" w:type="dxa"/>
            <w:tcBorders/>
            <w:shd w:fill="CCEEFF" w:val="clear"/>
            <w:vAlign w:val="center"/>
          </w:tcPr>
          <w:p>
            <w:pPr>
              <w:pStyle w:val="TableContents"/>
              <w:bidi w:val="0"/>
              <w:spacing w:before="0" w:after="0"/>
              <w:ind w:left="0" w:right="0" w:hanging="0"/>
              <w:jc w:val="left"/>
              <w:rPr/>
            </w:pPr>
            <w:r>
              <w:rPr/>
              <w:t>​</w:t>
            </w:r>
          </w:p>
        </w:tc>
        <w:tc>
          <w:tcPr>
            <w:tcW w:w="268" w:type="dxa"/>
            <w:tcBorders/>
            <w:shd w:fill="CCEEFF" w:val="clear"/>
            <w:vAlign w:val="center"/>
          </w:tcPr>
          <w:p>
            <w:pPr>
              <w:pStyle w:val="TableContents"/>
              <w:bidi w:val="0"/>
              <w:spacing w:before="0" w:after="0"/>
              <w:ind w:left="0" w:right="0" w:hanging="0"/>
              <w:jc w:val="left"/>
              <w:rPr/>
            </w:pPr>
            <w:r>
              <w:rPr/>
              <w:t> </w:t>
            </w:r>
          </w:p>
        </w:tc>
        <w:tc>
          <w:tcPr>
            <w:tcW w:w="72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5.75</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21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Expected dividend yield</w:t>
            </w:r>
          </w:p>
        </w:tc>
        <w:tc>
          <w:tcPr>
            <w:tcW w:w="326" w:type="dxa"/>
            <w:tcBorders/>
            <w:vAlign w:val="center"/>
          </w:tcPr>
          <w:p>
            <w:pPr>
              <w:pStyle w:val="TableContents"/>
              <w:bidi w:val="0"/>
              <w:spacing w:before="0" w:after="0"/>
              <w:ind w:left="0" w:right="0" w:hanging="0"/>
              <w:jc w:val="left"/>
              <w:rPr/>
            </w:pPr>
            <w:r>
              <w:rPr/>
              <w:t>​</w:t>
            </w:r>
          </w:p>
        </w:tc>
        <w:tc>
          <w:tcPr>
            <w:tcW w:w="268" w:type="dxa"/>
            <w:tcBorders/>
            <w:vAlign w:val="center"/>
          </w:tcPr>
          <w:p>
            <w:pPr>
              <w:pStyle w:val="TableContents"/>
              <w:bidi w:val="0"/>
              <w:spacing w:before="0" w:after="0"/>
              <w:ind w:left="0" w:right="0" w:hanging="0"/>
              <w:jc w:val="left"/>
              <w:rPr/>
            </w:pPr>
            <w:r>
              <w:rPr/>
              <w:t>​</w:t>
            </w:r>
          </w:p>
        </w:tc>
        <w:tc>
          <w:tcPr>
            <w:tcW w:w="72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0.00</w:t>
            </w:r>
          </w:p>
        </w:tc>
        <w:tc>
          <w:tcPr>
            <w:tcW w:w="458" w:type="dxa"/>
            <w:tcBorders/>
            <w:vAlign w:val="center"/>
          </w:tcPr>
          <w:p>
            <w:pPr>
              <w:pStyle w:val="TableContents"/>
              <w:bidi w:val="0"/>
              <w:spacing w:before="0" w:after="0"/>
              <w:ind w:left="0" w:right="0" w:hanging="0"/>
              <w:jc w:val="left"/>
              <w:rPr>
                <w:rFonts w:ascii="Calibri;Helvetica;sans-serif" w:hAnsi="Calibri;Helvetica;sans-serif"/>
                <w:sz w:val="20"/>
              </w:rPr>
            </w:pPr>
            <w:r>
              <w:rPr>
                <w:rFonts w:ascii="Calibri;Helvetica;sans-serif" w:hAnsi="Calibri;Helvetica;sans-serif"/>
                <w:sz w:val="20"/>
              </w:rPr>
              <w:t>%</w:t>
            </w:r>
          </w:p>
        </w:tc>
        <w:tc>
          <w:tcPr>
            <w:tcW w:w="268" w:type="dxa"/>
            <w:tcBorders/>
            <w:vAlign w:val="center"/>
          </w:tcPr>
          <w:p>
            <w:pPr>
              <w:pStyle w:val="TableContents"/>
              <w:bidi w:val="0"/>
              <w:spacing w:before="0" w:after="0"/>
              <w:ind w:left="0" w:right="0" w:hanging="0"/>
              <w:jc w:val="left"/>
              <w:rPr/>
            </w:pPr>
            <w:r>
              <w:rPr/>
              <w:t> </w:t>
            </w:r>
          </w:p>
        </w:tc>
        <w:tc>
          <w:tcPr>
            <w:tcW w:w="72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0.00</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1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Fair value, per share</w:t>
            </w:r>
          </w:p>
        </w:tc>
        <w:tc>
          <w:tcPr>
            <w:tcW w:w="326" w:type="dxa"/>
            <w:tcBorders/>
            <w:shd w:fill="CCEEFF" w:val="clear"/>
            <w:vAlign w:val="center"/>
          </w:tcPr>
          <w:p>
            <w:pPr>
              <w:pStyle w:val="TableContents"/>
              <w:bidi w:val="0"/>
              <w:spacing w:before="0" w:after="0"/>
              <w:ind w:left="0" w:right="0" w:hanging="0"/>
              <w:jc w:val="left"/>
              <w:rPr/>
            </w:pPr>
            <w:r>
              <w:rPr/>
              <w:t>​</w:t>
            </w:r>
          </w:p>
        </w:tc>
        <w:tc>
          <w:tcPr>
            <w:tcW w:w="26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0.22</w:t>
            </w:r>
          </w:p>
        </w:tc>
        <w:tc>
          <w:tcPr>
            <w:tcW w:w="458" w:type="dxa"/>
            <w:tcBorders/>
            <w:shd w:fill="CCEEFF" w:val="clear"/>
            <w:vAlign w:val="center"/>
          </w:tcPr>
          <w:p>
            <w:pPr>
              <w:pStyle w:val="TableContents"/>
              <w:bidi w:val="0"/>
              <w:spacing w:before="0" w:after="0"/>
              <w:ind w:left="0" w:right="0" w:hanging="0"/>
              <w:jc w:val="left"/>
              <w:rPr/>
            </w:pPr>
            <w:r>
              <w:rPr/>
              <w:t>​</w:t>
            </w:r>
          </w:p>
        </w:tc>
        <w:tc>
          <w:tcPr>
            <w:tcW w:w="26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3.01</w:t>
            </w:r>
          </w:p>
        </w:tc>
        <w:tc>
          <w:tcPr>
            <w:tcW w:w="316"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Total stock-based compensation expense was as follows (in thousands):</w:t>
      </w:r>
    </w:p>
    <w:p>
      <w:pPr>
        <w:pStyle w:val="TextBody"/>
        <w:bidi w:val="0"/>
        <w:spacing w:before="0" w:after="0"/>
        <w:ind w:left="0" w:right="0" w:hanging="0"/>
        <w:jc w:val="left"/>
        <w:rPr/>
      </w:pPr>
      <w:r>
        <w:rPr/>
        <w:t>​</w:t>
      </w:r>
    </w:p>
    <w:tbl>
      <w:tblPr>
        <w:tblW w:w="5255" w:type="dxa"/>
        <w:jc w:val="left"/>
        <w:tblInd w:w="0" w:type="dxa"/>
        <w:tblLayout w:type="fixed"/>
        <w:tblCellMar>
          <w:top w:w="0" w:type="dxa"/>
          <w:left w:w="0" w:type="dxa"/>
          <w:bottom w:w="0" w:type="dxa"/>
          <w:right w:w="0" w:type="dxa"/>
        </w:tblCellMar>
      </w:tblPr>
      <w:tblGrid>
        <w:gridCol w:w="3451"/>
        <w:gridCol w:w="109"/>
        <w:gridCol w:w="242"/>
        <w:gridCol w:w="483"/>
        <w:gridCol w:w="125"/>
        <w:gridCol w:w="242"/>
        <w:gridCol w:w="603"/>
      </w:tblGrid>
      <w:tr>
        <w:trPr/>
        <w:tc>
          <w:tcPr>
            <w:tcW w:w="34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2191385" cy="175260"/>
                      <wp:effectExtent l="0" t="0" r="0" b="0"/>
                      <wp:wrapNone/>
                      <wp:docPr id="76" name="Frame76"/>
                      <a:graphic xmlns:a="http://schemas.openxmlformats.org/drawingml/2006/main">
                        <a:graphicData uri="http://schemas.microsoft.com/office/word/2010/wordprocessingShape">
                          <wps:wsp>
                            <wps:cNvSpPr txBox="1"/>
                            <wps:spPr>
                              <a:xfrm>
                                <a:off x="0" y="0"/>
                                <a:ext cx="2191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9215" cy="175260"/>
                      <wp:effectExtent l="0" t="0" r="0" b="0"/>
                      <wp:wrapNone/>
                      <wp:docPr id="77" name="Frame7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153670" cy="175260"/>
                      <wp:effectExtent l="0" t="0" r="0" b="0"/>
                      <wp:wrapNone/>
                      <wp:docPr id="78" name="Frame78"/>
                      <a:graphic xmlns:a="http://schemas.openxmlformats.org/drawingml/2006/main">
                        <a:graphicData uri="http://schemas.microsoft.com/office/word/2010/wordprocessingShape">
                          <wps:wsp>
                            <wps:cNvSpPr txBox="1"/>
                            <wps:spPr>
                              <a:xfrm>
                                <a:off x="0" y="0"/>
                                <a:ext cx="1536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306705" cy="175260"/>
                      <wp:effectExtent l="0" t="0" r="0" b="0"/>
                      <wp:wrapNone/>
                      <wp:docPr id="79" name="Frame79"/>
                      <a:graphic xmlns:a="http://schemas.openxmlformats.org/drawingml/2006/main">
                        <a:graphicData uri="http://schemas.microsoft.com/office/word/2010/wordprocessingShape">
                          <wps:wsp>
                            <wps:cNvSpPr txBox="1"/>
                            <wps:spPr>
                              <a:xfrm>
                                <a:off x="0" y="0"/>
                                <a:ext cx="3067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79375" cy="175260"/>
                      <wp:effectExtent l="0" t="0" r="0" b="0"/>
                      <wp:wrapNone/>
                      <wp:docPr id="80" name="Frame80"/>
                      <a:graphic xmlns:a="http://schemas.openxmlformats.org/drawingml/2006/main">
                        <a:graphicData uri="http://schemas.microsoft.com/office/word/2010/wordprocessingShape">
                          <wps:wsp>
                            <wps:cNvSpPr txBox="1"/>
                            <wps:spPr>
                              <a:xfrm>
                                <a:off x="0" y="0"/>
                                <a:ext cx="793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153670" cy="175260"/>
                      <wp:effectExtent l="0" t="0" r="0" b="0"/>
                      <wp:wrapNone/>
                      <wp:docPr id="81" name="Frame81"/>
                      <a:graphic xmlns:a="http://schemas.openxmlformats.org/drawingml/2006/main">
                        <a:graphicData uri="http://schemas.microsoft.com/office/word/2010/wordprocessingShape">
                          <wps:wsp>
                            <wps:cNvSpPr txBox="1"/>
                            <wps:spPr>
                              <a:xfrm>
                                <a:off x="0" y="0"/>
                                <a:ext cx="1536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382905" cy="175260"/>
                      <wp:effectExtent l="0" t="0" r="0" b="0"/>
                      <wp:wrapNone/>
                      <wp:docPr id="82" name="Frame82"/>
                      <a:graphic xmlns:a="http://schemas.openxmlformats.org/drawingml/2006/main">
                        <a:graphicData uri="http://schemas.microsoft.com/office/word/2010/wordprocessingShape">
                          <wps:wsp>
                            <wps:cNvSpPr txBox="1"/>
                            <wps:spPr>
                              <a:xfrm>
                                <a:off x="0" y="0"/>
                                <a:ext cx="3829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5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69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r>
      <w:tr>
        <w:trPr/>
        <w:tc>
          <w:tcPr>
            <w:tcW w:w="345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69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r>
      <w:tr>
        <w:trPr/>
        <w:tc>
          <w:tcPr>
            <w:tcW w:w="345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25" w:type="dxa"/>
            <w:tcBorders/>
            <w:vAlign w:val="center"/>
          </w:tcPr>
          <w:p>
            <w:pPr>
              <w:pStyle w:val="TableContents"/>
              <w:bidi w:val="0"/>
              <w:spacing w:before="0" w:after="0"/>
              <w:ind w:left="0" w:right="0" w:hanging="0"/>
              <w:jc w:val="left"/>
              <w:rPr/>
            </w:pPr>
            <w:r>
              <w:rPr/>
              <w:t>​</w:t>
            </w:r>
          </w:p>
        </w:tc>
        <w:tc>
          <w:tcPr>
            <w:tcW w:w="8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34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sales</w:t>
            </w:r>
          </w:p>
        </w:tc>
        <w:tc>
          <w:tcPr>
            <w:tcW w:w="109"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8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125"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34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general and administrative</w:t>
            </w:r>
          </w:p>
        </w:tc>
        <w:tc>
          <w:tcPr>
            <w:tcW w:w="109"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pPr>
            <w:r>
              <w:rPr/>
              <w:t> </w:t>
            </w:r>
          </w:p>
        </w:tc>
        <w:tc>
          <w:tcPr>
            <w:tcW w:w="48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320</w:t>
            </w:r>
          </w:p>
        </w:tc>
        <w:tc>
          <w:tcPr>
            <w:tcW w:w="125"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pPr>
            <w:r>
              <w:rPr/>
              <w:t> </w:t>
            </w:r>
          </w:p>
        </w:tc>
        <w:tc>
          <w:tcPr>
            <w:tcW w:w="60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246</w:t>
            </w:r>
          </w:p>
        </w:tc>
      </w:tr>
      <w:tr>
        <w:trPr/>
        <w:tc>
          <w:tcPr>
            <w:tcW w:w="34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109" w:type="dxa"/>
            <w:tcBorders/>
            <w:shd w:fill="CCEEFF" w:val="clear"/>
            <w:vAlign w:val="center"/>
          </w:tcPr>
          <w:p>
            <w:pPr>
              <w:pStyle w:val="TableContents"/>
              <w:bidi w:val="0"/>
              <w:spacing w:before="0" w:after="0"/>
              <w:ind w:left="0" w:right="0" w:hanging="0"/>
              <w:jc w:val="left"/>
              <w:rPr/>
            </w:pPr>
            <w:r>
              <w:rPr/>
              <w:t>​</w:t>
            </w:r>
          </w:p>
        </w:tc>
        <w:tc>
          <w:tcPr>
            <w:tcW w:w="24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8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w:t>
            </w:r>
          </w:p>
        </w:tc>
        <w:tc>
          <w:tcPr>
            <w:tcW w:w="125" w:type="dxa"/>
            <w:tcBorders/>
            <w:shd w:fill="CCEEFF" w:val="clear"/>
            <w:vAlign w:val="center"/>
          </w:tcPr>
          <w:p>
            <w:pPr>
              <w:pStyle w:val="TableContents"/>
              <w:bidi w:val="0"/>
              <w:spacing w:before="0" w:after="0"/>
              <w:ind w:left="0" w:right="0" w:hanging="0"/>
              <w:jc w:val="left"/>
              <w:rPr/>
            </w:pPr>
            <w:r>
              <w:rPr/>
              <w:t>​</w:t>
            </w:r>
          </w:p>
        </w:tc>
        <w:tc>
          <w:tcPr>
            <w:tcW w:w="24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0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w:t>
            </w:r>
          </w:p>
        </w:tc>
      </w:tr>
      <w:tr>
        <w:trPr/>
        <w:tc>
          <w:tcPr>
            <w:tcW w:w="34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stock-based compensation expense</w:t>
            </w:r>
          </w:p>
        </w:tc>
        <w:tc>
          <w:tcPr>
            <w:tcW w:w="109" w:type="dxa"/>
            <w:tcBorders/>
            <w:vAlign w:val="center"/>
          </w:tcPr>
          <w:p>
            <w:pPr>
              <w:pStyle w:val="TableContents"/>
              <w:bidi w:val="0"/>
              <w:spacing w:before="0" w:after="0"/>
              <w:ind w:left="0" w:right="0" w:hanging="0"/>
              <w:jc w:val="left"/>
              <w:rPr/>
            </w:pPr>
            <w:r>
              <w:rPr/>
              <w:t>​</w:t>
            </w:r>
          </w:p>
        </w:tc>
        <w:tc>
          <w:tcPr>
            <w:tcW w:w="24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8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405</w:t>
            </w:r>
          </w:p>
        </w:tc>
        <w:tc>
          <w:tcPr>
            <w:tcW w:w="125" w:type="dxa"/>
            <w:tcBorders/>
            <w:vAlign w:val="center"/>
          </w:tcPr>
          <w:p>
            <w:pPr>
              <w:pStyle w:val="TableContents"/>
              <w:bidi w:val="0"/>
              <w:spacing w:before="0" w:after="0"/>
              <w:ind w:left="0" w:right="0" w:hanging="0"/>
              <w:jc w:val="left"/>
              <w:rPr/>
            </w:pPr>
            <w:r>
              <w:rPr/>
              <w:t>​</w:t>
            </w:r>
          </w:p>
        </w:tc>
        <w:tc>
          <w:tcPr>
            <w:tcW w:w="24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3"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402</w:t>
            </w:r>
          </w:p>
        </w:tc>
      </w:tr>
    </w:tbl>
    <w:p>
      <w:pPr>
        <w:pStyle w:val="TextBody"/>
        <w:bidi w:val="0"/>
        <w:spacing w:before="0" w:after="0"/>
        <w:ind w:left="0" w:right="0" w:hanging="0"/>
        <w:jc w:val="left"/>
        <w:rPr/>
      </w:pPr>
      <w:r>
        <w:rPr/>
        <w:t>​</w:t>
      </w:r>
    </w:p>
    <w:p>
      <w:pPr>
        <w:pStyle w:val="TextBody"/>
        <w:bidi w:val="0"/>
        <w:spacing w:before="240" w:after="240"/>
        <w:ind w:left="0" w:right="0" w:hanging="0"/>
        <w:jc w:val="left"/>
        <w:rPr>
          <w:rFonts w:ascii="Times New Roman;Times;serif" w:hAnsi="Times New Roman;Times;serif"/>
          <w:sz w:val="20"/>
        </w:rPr>
      </w:pPr>
      <w:r>
        <w:rPr>
          <w:rFonts w:ascii="Times New Roman;Times;serif" w:hAnsi="Times New Roman;Times;serif"/>
          <w:sz w:val="20"/>
        </w:rPr>
        <w:t>As of March 31, 2023, the total remaining unrecognized compensation expense related to nonvested stock options and restricted stock units was $3.6 million which will be amortized over the weighted-average remaining requisite service period of 2.7 years.</w:t>
      </w:r>
    </w:p>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b/>
          <w:sz w:val="20"/>
        </w:rPr>
      </w:pPr>
      <w:bookmarkStart w:id="618" w:name="Tc_dv4wUwPF2kSUR6H-12LszQ_12_5"/>
      <w:bookmarkStart w:id="619" w:name="Tc_wgU5kwUKVkyE86GM4K6RFw_12_2"/>
      <w:bookmarkStart w:id="620" w:name="Tc_4NorDEBOkUaBPxlkxnHZOg_12_0"/>
      <w:bookmarkStart w:id="621" w:name="Tc_w0V6EB11nE2l3cR_b3cqNA_11_0"/>
      <w:bookmarkStart w:id="622" w:name="Tc_SPIm6nFm8Eia-Rt4qEd_QA_10_5"/>
      <w:bookmarkStart w:id="623" w:name="Tc_Y7E9ga8NL0OjM0y27Hnw7Q_10_2"/>
      <w:bookmarkStart w:id="624" w:name="Tc_s4O_qKLfGEqvmP-7FArkuA_10_0"/>
      <w:bookmarkStart w:id="625" w:name="Tc_mgsMHVcm0kCsi5j8BF6BKQ_9_0"/>
      <w:bookmarkStart w:id="626" w:name="Tc_0bpeqSCGVUi5EsCphNCczQ_7_5"/>
      <w:bookmarkStart w:id="627" w:name="Tc_DjtjmHnz0kyeFizIAKJ1hw_7_2"/>
      <w:bookmarkStart w:id="628" w:name="Tc_8X_RN8UwM0-daKbuUOA0ww_7_0"/>
      <w:bookmarkStart w:id="629" w:name="Tc_gaTOQi_YH0imxwjYYfDJhQ_6_0"/>
      <w:bookmarkStart w:id="630" w:name="Tc_nqb_DrAD1kamVaS5qFVwIA_5_5"/>
      <w:bookmarkStart w:id="631" w:name="Tc_J-gOXVfS2U2EB0Z_UirGnw_5_2"/>
      <w:bookmarkStart w:id="632" w:name="Tc_ozIChfbvTkmfnGqTEKCrzw_5_0"/>
      <w:bookmarkStart w:id="633" w:name="Tc_LEQvuVUKxkKDS9Weun8F2w_4_0"/>
      <w:bookmarkStart w:id="634" w:name="Tc_4r_g-78XxkWmtJip9PCy4Q_3_5"/>
      <w:bookmarkStart w:id="635" w:name="Tc_ZgPs4Ovvv06v0nXeQ-s6_A_3_2"/>
      <w:bookmarkStart w:id="636" w:name="Tc_BGFZdDCSyUK9nT3-do72GA_2_2"/>
      <w:bookmarkStart w:id="637" w:name="Tc_gRT7_9TFWkO9IEOBZAa_zg_1_2"/>
      <w:bookmarkStart w:id="638" w:name="_b799a3e0_3906_4dd0_b2eb_407424773b43"/>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r>
        <w:rPr>
          <w:rFonts w:ascii="Times New Roman;Times;serif" w:hAnsi="Times New Roman;Times;serif"/>
          <w:b/>
          <w:sz w:val="20"/>
        </w:rPr>
        <w:t>8.    BASIC AND DILUTED LOSS PER SHARE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table below presents the computation of basic and diluted loss per share (in thousands, except share and per share information): </w:t>
      </w:r>
    </w:p>
    <w:p>
      <w:pPr>
        <w:pStyle w:val="TextBody"/>
        <w:bidi w:val="0"/>
        <w:spacing w:before="0" w:after="0"/>
        <w:ind w:left="0" w:right="0" w:hanging="0"/>
        <w:jc w:val="left"/>
        <w:rPr/>
      </w:pPr>
      <w:r>
        <w:rPr/>
        <w:t>​</w:t>
      </w:r>
    </w:p>
    <w:tbl>
      <w:tblPr>
        <w:tblW w:w="7640" w:type="dxa"/>
        <w:jc w:val="left"/>
        <w:tblInd w:w="0" w:type="dxa"/>
        <w:tblLayout w:type="fixed"/>
        <w:tblCellMar>
          <w:top w:w="0" w:type="dxa"/>
          <w:left w:w="0" w:type="dxa"/>
          <w:bottom w:w="0" w:type="dxa"/>
          <w:right w:w="0" w:type="dxa"/>
        </w:tblCellMar>
      </w:tblPr>
      <w:tblGrid>
        <w:gridCol w:w="4831"/>
        <w:gridCol w:w="109"/>
        <w:gridCol w:w="211"/>
        <w:gridCol w:w="1036"/>
        <w:gridCol w:w="266"/>
        <w:gridCol w:w="211"/>
        <w:gridCol w:w="976"/>
      </w:tblGrid>
      <w:tr>
        <w:trPr/>
        <w:tc>
          <w:tcPr>
            <w:tcW w:w="48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3067685" cy="175260"/>
                      <wp:effectExtent l="0" t="0" r="0" b="0"/>
                      <wp:wrapNone/>
                      <wp:docPr id="83" name="Frame83"/>
                      <a:graphic xmlns:a="http://schemas.openxmlformats.org/drawingml/2006/main">
                        <a:graphicData uri="http://schemas.microsoft.com/office/word/2010/wordprocessingShape">
                          <wps:wsp>
                            <wps:cNvSpPr txBox="1"/>
                            <wps:spPr>
                              <a:xfrm>
                                <a:off x="0" y="0"/>
                                <a:ext cx="3067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9215" cy="175260"/>
                      <wp:effectExtent l="0" t="0" r="0" b="0"/>
                      <wp:wrapNone/>
                      <wp:docPr id="84" name="Frame8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133985" cy="175260"/>
                      <wp:effectExtent l="0" t="0" r="0" b="0"/>
                      <wp:wrapNone/>
                      <wp:docPr id="85" name="Frame8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57860" cy="175260"/>
                      <wp:effectExtent l="0" t="0" r="0" b="0"/>
                      <wp:wrapNone/>
                      <wp:docPr id="86" name="Frame86"/>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168910" cy="175260"/>
                      <wp:effectExtent l="0" t="0" r="0" b="0"/>
                      <wp:wrapNone/>
                      <wp:docPr id="87" name="Frame87"/>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133985" cy="175260"/>
                      <wp:effectExtent l="0" t="0" r="0" b="0"/>
                      <wp:wrapNone/>
                      <wp:docPr id="88" name="Frame8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19760" cy="175260"/>
                      <wp:effectExtent l="0" t="0" r="0" b="0"/>
                      <wp:wrapNone/>
                      <wp:docPr id="89" name="Frame89"/>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83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270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r>
      <w:tr>
        <w:trPr/>
        <w:tc>
          <w:tcPr>
            <w:tcW w:w="483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270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r>
      <w:tr>
        <w:trPr/>
        <w:tc>
          <w:tcPr>
            <w:tcW w:w="483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266" w:type="dxa"/>
            <w:tcBorders/>
            <w:vAlign w:val="center"/>
          </w:tcPr>
          <w:p>
            <w:pPr>
              <w:pStyle w:val="TableContents"/>
              <w:bidi w:val="0"/>
              <w:spacing w:before="0" w:after="0"/>
              <w:ind w:left="0" w:right="0" w:hanging="0"/>
              <w:jc w:val="center"/>
              <w:rPr/>
            </w:pPr>
            <w:r>
              <w:rPr/>
              <w:t>   </w:t>
            </w:r>
          </w:p>
        </w:tc>
        <w:tc>
          <w:tcPr>
            <w:tcW w:w="11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483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Basic:</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  </w:t>
            </w:r>
          </w:p>
        </w:tc>
        <w:tc>
          <w:tcPr>
            <w:tcW w:w="26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  </w:t>
            </w:r>
          </w:p>
        </w:tc>
      </w:tr>
      <w:tr>
        <w:trPr/>
        <w:tc>
          <w:tcPr>
            <w:tcW w:w="48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 available to common stockholders - basic</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(2,494)</w:t>
            </w:r>
          </w:p>
        </w:tc>
        <w:tc>
          <w:tcPr>
            <w:tcW w:w="26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(4,346)</w:t>
            </w:r>
          </w:p>
        </w:tc>
      </w:tr>
      <w:tr>
        <w:trPr/>
        <w:tc>
          <w:tcPr>
            <w:tcW w:w="48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 average common shares outstanding - basic</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28,209,346</w:t>
            </w:r>
          </w:p>
        </w:tc>
        <w:tc>
          <w:tcPr>
            <w:tcW w:w="26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3,787,871</w:t>
            </w:r>
          </w:p>
        </w:tc>
      </w:tr>
      <w:tr>
        <w:trPr/>
        <w:tc>
          <w:tcPr>
            <w:tcW w:w="48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per share - basic</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(0.09)</w:t>
            </w:r>
          </w:p>
        </w:tc>
        <w:tc>
          <w:tcPr>
            <w:tcW w:w="26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w:t>
            </w:r>
          </w:p>
        </w:tc>
      </w:tr>
      <w:tr>
        <w:trPr/>
        <w:tc>
          <w:tcPr>
            <w:tcW w:w="483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  </w:t>
            </w:r>
          </w:p>
        </w:tc>
        <w:tc>
          <w:tcPr>
            <w:tcW w:w="26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  </w:t>
            </w:r>
          </w:p>
        </w:tc>
      </w:tr>
      <w:tr>
        <w:trPr/>
        <w:tc>
          <w:tcPr>
            <w:tcW w:w="483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Diluted:</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pPr>
            <w:r>
              <w:rPr/>
              <w:t>  </w:t>
            </w:r>
          </w:p>
        </w:tc>
        <w:tc>
          <w:tcPr>
            <w:tcW w:w="26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  </w:t>
            </w:r>
          </w:p>
        </w:tc>
      </w:tr>
      <w:tr>
        <w:trPr/>
        <w:tc>
          <w:tcPr>
            <w:tcW w:w="483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20"/>
              </w:rPr>
              <w:t xml:space="preserve">Net loss available to common stockholders - diluted </w:t>
            </w:r>
            <w:r>
              <w:rPr>
                <w:rFonts w:ascii="Times New Roman;Times;serif" w:hAnsi="Times New Roman;Times;serif"/>
                <w:sz w:val="12"/>
              </w:rPr>
              <w:t>(1)</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(2,494)</w:t>
            </w:r>
          </w:p>
        </w:tc>
        <w:tc>
          <w:tcPr>
            <w:tcW w:w="26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(4,346)</w:t>
            </w:r>
          </w:p>
        </w:tc>
      </w:tr>
      <w:tr>
        <w:trPr/>
        <w:tc>
          <w:tcPr>
            <w:tcW w:w="4831" w:type="dxa"/>
            <w:tcBorders/>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20"/>
              </w:rPr>
              <w:t xml:space="preserve">Weighted average common shares outstanding - diluted </w:t>
            </w:r>
            <w:r>
              <w:rPr>
                <w:rFonts w:ascii="Times New Roman;Times;serif" w:hAnsi="Times New Roman;Times;serif"/>
                <w:sz w:val="12"/>
              </w:rPr>
              <w:t>(1)</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28,209,346</w:t>
            </w:r>
          </w:p>
        </w:tc>
        <w:tc>
          <w:tcPr>
            <w:tcW w:w="26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3,787,871</w:t>
            </w:r>
          </w:p>
        </w:tc>
      </w:tr>
      <w:tr>
        <w:trPr/>
        <w:tc>
          <w:tcPr>
            <w:tcW w:w="48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per share - diluted</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(0.09)</w:t>
            </w:r>
          </w:p>
        </w:tc>
        <w:tc>
          <w:tcPr>
            <w:tcW w:w="26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w:t>
            </w:r>
          </w:p>
        </w:tc>
      </w:tr>
    </w:tbl>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24"/>
        <w:gridCol w:w="9857"/>
      </w:tblGrid>
      <w:tr>
        <w:trPr/>
        <w:tc>
          <w:tcPr>
            <w:tcW w:w="124" w:type="dxa"/>
            <w:tcBorders/>
            <w:vAlign w:val="center"/>
          </w:tcPr>
          <w:p>
            <w:pPr>
              <w:pStyle w:val="TableContents"/>
              <w:bidi w:val="0"/>
              <w:spacing w:before="0" w:after="283"/>
              <w:jc w:val="left"/>
              <w:rPr>
                <w:sz w:val="4"/>
                <w:szCs w:val="4"/>
              </w:rPr>
            </w:pPr>
            <w:r>
              <w:rPr>
                <w:sz w:val="4"/>
                <w:szCs w:val="4"/>
              </w:rPr>
            </w:r>
          </w:p>
        </w:tc>
        <w:tc>
          <w:tcPr>
            <w:tcW w:w="224"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12"/>
              </w:rPr>
            </w:pPr>
            <w:r>
              <w:rPr>
                <w:rFonts w:ascii="Times New Roman;Times;serif" w:hAnsi="Times New Roman;Times;serif"/>
                <w:sz w:val="12"/>
              </w:rPr>
              <w:t>(1)</w:t>
            </w:r>
          </w:p>
        </w:tc>
        <w:tc>
          <w:tcPr>
            <w:tcW w:w="9857"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March 31, 2023, no adjustment was made to the numerator and no incremental shares were added to the denominator for the Public Warrants being accounted for as a derivative liability, as the Public Warrants were out-of-the-money during the period. Refer to Note 6 for additional information about the Public Warrants.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bookmarkStart w:id="639" w:name="Tc_ZTGlBasaCUqspnFnZEe_GQ_6_0"/>
      <w:bookmarkStart w:id="640" w:name="Tc_QqP65ICfpkGCdKO7l6fIbg_5_0"/>
      <w:bookmarkStart w:id="641" w:name="Tc_S7Z2pXcuW0mASB-nSaDLZA_4_0"/>
      <w:bookmarkStart w:id="642" w:name="Tc_minLTIcSzU6V6IIJfbBGOA_3_4"/>
      <w:bookmarkStart w:id="643" w:name="Tc_spjB5lpxL0quKpSvH9mIYA_3_2"/>
      <w:bookmarkStart w:id="644" w:name="Tc_YHDcvVDiWkyanFRV1kYrMw_2_2"/>
      <w:bookmarkStart w:id="645" w:name="Tc_8k_k6pLRQEiqBQkgM0M5RQ_1_2"/>
      <w:bookmarkEnd w:id="639"/>
      <w:bookmarkEnd w:id="640"/>
      <w:bookmarkEnd w:id="641"/>
      <w:bookmarkEnd w:id="642"/>
      <w:bookmarkEnd w:id="643"/>
      <w:bookmarkEnd w:id="644"/>
      <w:bookmarkEnd w:id="645"/>
      <w:r>
        <w:rPr>
          <w:rFonts w:ascii="Times New Roman;Times;serif" w:hAnsi="Times New Roman;Times;serif"/>
          <w:sz w:val="20"/>
        </w:rPr>
        <w:t>The following outstanding securities, presented based on amounts outstanding as of the end of each period, were not included in the computation of diluted net loss per share for the periods indicated, as they would have been anti-dilutive due to the net loss in each period.</w:t>
      </w:r>
    </w:p>
    <w:p>
      <w:pPr>
        <w:pStyle w:val="TextBody"/>
        <w:bidi w:val="0"/>
        <w:spacing w:before="0" w:after="0"/>
        <w:ind w:left="0" w:right="0" w:hanging="0"/>
        <w:jc w:val="left"/>
        <w:rPr/>
      </w:pPr>
      <w:r>
        <w:rPr/>
        <w:t>​</w:t>
      </w:r>
    </w:p>
    <w:tbl>
      <w:tblPr>
        <w:tblW w:w="4218" w:type="dxa"/>
        <w:jc w:val="left"/>
        <w:tblInd w:w="0" w:type="dxa"/>
        <w:tblLayout w:type="fixed"/>
        <w:tblCellMar>
          <w:top w:w="0" w:type="dxa"/>
          <w:left w:w="0" w:type="dxa"/>
          <w:bottom w:w="0" w:type="dxa"/>
          <w:right w:w="0" w:type="dxa"/>
        </w:tblCellMar>
      </w:tblPr>
      <w:tblGrid>
        <w:gridCol w:w="1921"/>
        <w:gridCol w:w="109"/>
        <w:gridCol w:w="1036"/>
        <w:gridCol w:w="266"/>
        <w:gridCol w:w="886"/>
      </w:tblGrid>
      <w:tr>
        <w:trPr/>
        <w:tc>
          <w:tcPr>
            <w:tcW w:w="19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1219835" cy="175260"/>
                      <wp:effectExtent l="0" t="0" r="0" b="0"/>
                      <wp:wrapNone/>
                      <wp:docPr id="90" name="Frame90"/>
                      <a:graphic xmlns:a="http://schemas.openxmlformats.org/drawingml/2006/main">
                        <a:graphicData uri="http://schemas.microsoft.com/office/word/2010/wordprocessingShape">
                          <wps:wsp>
                            <wps:cNvSpPr txBox="1"/>
                            <wps:spPr>
                              <a:xfrm>
                                <a:off x="0" y="0"/>
                                <a:ext cx="12198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9215" cy="175260"/>
                      <wp:effectExtent l="0" t="0" r="0" b="0"/>
                      <wp:wrapNone/>
                      <wp:docPr id="91" name="Frame9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57860" cy="175260"/>
                      <wp:effectExtent l="0" t="0" r="0" b="0"/>
                      <wp:wrapNone/>
                      <wp:docPr id="92" name="Frame92"/>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168910" cy="175260"/>
                      <wp:effectExtent l="0" t="0" r="0" b="0"/>
                      <wp:wrapNone/>
                      <wp:docPr id="93" name="Frame93"/>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562610" cy="175260"/>
                      <wp:effectExtent l="0" t="0" r="0" b="0"/>
                      <wp:wrapNone/>
                      <wp:docPr id="94" name="Frame94"/>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92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center"/>
              <w:rPr/>
            </w:pPr>
            <w:r>
              <w:rPr/>
              <w:t>​</w:t>
            </w:r>
          </w:p>
        </w:tc>
        <w:tc>
          <w:tcPr>
            <w:tcW w:w="2188" w:type="dxa"/>
            <w:gridSpan w:val="3"/>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r>
      <w:tr>
        <w:trPr/>
        <w:tc>
          <w:tcPr>
            <w:tcW w:w="192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88"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 </w:t>
            </w:r>
          </w:p>
        </w:tc>
      </w:tr>
      <w:tr>
        <w:trPr/>
        <w:tc>
          <w:tcPr>
            <w:tcW w:w="192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center"/>
              <w:rPr/>
            </w:pPr>
            <w:r>
              <w:rPr/>
              <w:t>​</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266" w:type="dxa"/>
            <w:tcBorders/>
            <w:vAlign w:val="center"/>
          </w:tcPr>
          <w:p>
            <w:pPr>
              <w:pStyle w:val="TableContents"/>
              <w:bidi w:val="0"/>
              <w:spacing w:before="0" w:after="1"/>
              <w:ind w:left="0" w:right="0" w:hanging="0"/>
              <w:jc w:val="center"/>
              <w:rPr/>
            </w:pPr>
            <w:r>
              <w:rPr/>
              <w:t>   </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19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Stock options</w:t>
            </w:r>
          </w:p>
        </w:tc>
        <w:tc>
          <w:tcPr>
            <w:tcW w:w="109"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11,122,299</w:t>
            </w:r>
          </w:p>
        </w:tc>
        <w:tc>
          <w:tcPr>
            <w:tcW w:w="266"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785,228</w:t>
            </w:r>
          </w:p>
        </w:tc>
      </w:tr>
      <w:tr>
        <w:trPr/>
        <w:tc>
          <w:tcPr>
            <w:tcW w:w="19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Restricted stock units </w:t>
            </w:r>
          </w:p>
        </w:tc>
        <w:tc>
          <w:tcPr>
            <w:tcW w:w="109"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2,016</w:t>
            </w:r>
          </w:p>
        </w:tc>
        <w:tc>
          <w:tcPr>
            <w:tcW w:w="266"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775</w:t>
            </w:r>
          </w:p>
        </w:tc>
      </w:tr>
      <w:tr>
        <w:trPr/>
        <w:tc>
          <w:tcPr>
            <w:tcW w:w="19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Warrants</w:t>
            </w:r>
          </w:p>
        </w:tc>
        <w:tc>
          <w:tcPr>
            <w:tcW w:w="109"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36,593,924</w:t>
            </w:r>
          </w:p>
        </w:tc>
        <w:tc>
          <w:tcPr>
            <w:tcW w:w="266"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593,924</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9.    COMMITMENTS AND CONTINGENCIES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val="false"/>
          <w:sz w:val="20"/>
        </w:rPr>
        <w:t>The Company is obligated under a license agreement with Advanced NeuroRehabilitation, LLC (“ANR”) to pay a 4%</w:t>
      </w:r>
      <w:r>
        <w:rPr>
          <w:rFonts w:ascii="Times New Roman;Times;serif" w:hAnsi="Times New Roman;Times;serif"/>
          <w:b/>
          <w:sz w:val="20"/>
        </w:rPr>
        <w:t xml:space="preserve"> </w:t>
      </w:r>
      <w:r>
        <w:rPr>
          <w:rFonts w:ascii="Times New Roman;Times;serif" w:hAnsi="Times New Roman;Times;serif"/>
          <w:b w:val="false"/>
          <w:sz w:val="20"/>
        </w:rPr>
        <w:t>royalty on net revenue collected from the sale of devices covered by the patent-pending technology. During the three months ended March 31, 2023 and 2022, the Company recorded royalty expense from the sale of devices of approximately $4</w:t>
      </w:r>
      <w:r>
        <w:rPr>
          <w:rFonts w:ascii="Times New Roman;Times;serif" w:hAnsi="Times New Roman;Times;serif"/>
          <w:b/>
          <w:sz w:val="20"/>
        </w:rPr>
        <w:t xml:space="preserve"> </w:t>
      </w:r>
      <w:r>
        <w:rPr>
          <w:rFonts w:ascii="Times New Roman;Times;serif" w:hAnsi="Times New Roman;Times;serif"/>
          <w:b w:val="false"/>
          <w:sz w:val="20"/>
        </w:rPr>
        <w:t>thousand and $7</w:t>
      </w:r>
      <w:r>
        <w:rPr>
          <w:rFonts w:ascii="Times New Roman;Times;serif" w:hAnsi="Times New Roman;Times;serif"/>
          <w:b/>
          <w:sz w:val="20"/>
        </w:rPr>
        <w:t xml:space="preserve"> </w:t>
      </w:r>
      <w:r>
        <w:rPr>
          <w:rFonts w:ascii="Times New Roman;Times;serif" w:hAnsi="Times New Roman;Times;serif"/>
          <w:b w:val="false"/>
          <w:sz w:val="20"/>
        </w:rPr>
        <w:t>thousand, respectively, in its Unaudited Condensed Consolidated Statements of Operations and Comprehensive Loss.</w:t>
      </w:r>
    </w:p>
    <w:p>
      <w:pPr>
        <w:pStyle w:val="TextBody"/>
        <w:bidi w:val="0"/>
        <w:spacing w:before="0" w:after="240"/>
        <w:ind w:left="0" w:right="0" w:hanging="0"/>
        <w:jc w:val="left"/>
        <w:rPr>
          <w:rFonts w:ascii="Times New Roman;Times;serif" w:hAnsi="Times New Roman;Times;serif"/>
          <w:b/>
          <w:sz w:val="20"/>
        </w:rPr>
      </w:pPr>
      <w:bookmarkStart w:id="646" w:name="Tc__TBQCprRLkC9WMiHnUZP8Q_8_5"/>
      <w:bookmarkStart w:id="647" w:name="Tc_uFauiAQ-PkKI369dCxWADQ_8_2"/>
      <w:bookmarkStart w:id="648" w:name="Tc_l-X7NK2U7EqFI9wiCPJiDA_8_0"/>
      <w:bookmarkStart w:id="649" w:name="Tc_Ef3R6L8Rw0O6yDinKRcLSg_7_0"/>
      <w:bookmarkStart w:id="650" w:name="Tc_8czqNrherUKV9jDmefOP7w_6_0"/>
      <w:bookmarkStart w:id="651" w:name="Tc_47quvkfGyEWV6cwaK45EHA_5_0"/>
      <w:bookmarkStart w:id="652" w:name="Tc_RZs3CUSqi0OfzuF7z9G-1Q_4_6"/>
      <w:bookmarkStart w:id="653" w:name="Tc_zDtkgQVEz0mDj8CUt1kx1Q_4_5"/>
      <w:bookmarkStart w:id="654" w:name="Tc_Od7sm5sIf0iJUWs-YkqnTg_4_2"/>
      <w:bookmarkStart w:id="655" w:name="Tc_fTVUwVRZZUSxzNIuFPBveg_4_0"/>
      <w:bookmarkStart w:id="656" w:name="Tc_-5lScZjMjEysSTspUIOE1g_3_0"/>
      <w:bookmarkStart w:id="657" w:name="Tc_0gpLzYsj606ZzLp3NQjPQA_2_5"/>
      <w:bookmarkStart w:id="658" w:name="Tc_oxYjYkLpEEyVeMwtRUXQ1A_2_2"/>
      <w:bookmarkStart w:id="659" w:name="Tc_oQ6GHlxYf0-ZCF_nNwCRig_1_2"/>
      <w:bookmarkStart w:id="660" w:name="_706e6dfd_5ade_4acd_8561_af3c1aab9812"/>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r>
        <w:rPr>
          <w:rFonts w:ascii="Times New Roman;Times;serif" w:hAnsi="Times New Roman;Times;serif"/>
          <w:b/>
          <w:sz w:val="20"/>
        </w:rPr>
        <w:t>10.    ENTERPRISE-WIDE DISCLOSURES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Operating segments are defined as components of an enterprise for which discrete financial information is available that is evaluated regularly by the chief operating decision maker (“CODM”) in deciding how to allocate resources and in assessing performance. Our CODM is the Chief Executive Officer. The Company operates and manages its business within one operating and </w:t>
      </w:r>
      <w:r>
        <w:rPr>
          <w:rFonts w:ascii="Times New Roman;Times;serif" w:hAnsi="Times New Roman;Times;serif"/>
          <w:b w:val="false"/>
          <w:i w:val="false"/>
          <w:caps w:val="false"/>
          <w:smallCaps w:val="false"/>
          <w:sz w:val="20"/>
        </w:rPr>
        <w:t>reportable</w:t>
      </w:r>
      <w:r>
        <w:rPr>
          <w:rFonts w:ascii="Times New Roman;Times;serif" w:hAnsi="Times New Roman;Times;serif"/>
          <w:sz w:val="20"/>
        </w:rPr>
        <w:t xml:space="preserve"> segment related to the sale of PoNS devices directly to patients in the United States and to clinics in Canada.</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following table presents the Company’s revenue disaggregated by geographic area (in thousands):</w:t>
      </w:r>
    </w:p>
    <w:p>
      <w:pPr>
        <w:pStyle w:val="TextBody"/>
        <w:bidi w:val="0"/>
        <w:spacing w:before="0" w:after="0"/>
        <w:ind w:left="0" w:right="0" w:hanging="0"/>
        <w:jc w:val="left"/>
        <w:rPr/>
      </w:pPr>
      <w:r>
        <w:rPr/>
        <w:t>​</w:t>
      </w:r>
    </w:p>
    <w:tbl>
      <w:tblPr>
        <w:tblW w:w="3598" w:type="dxa"/>
        <w:jc w:val="left"/>
        <w:tblInd w:w="0" w:type="dxa"/>
        <w:tblLayout w:type="fixed"/>
        <w:tblCellMar>
          <w:top w:w="0" w:type="dxa"/>
          <w:left w:w="0" w:type="dxa"/>
          <w:bottom w:w="0" w:type="dxa"/>
          <w:right w:w="0" w:type="dxa"/>
        </w:tblCellMar>
      </w:tblPr>
      <w:tblGrid>
        <w:gridCol w:w="2011"/>
        <w:gridCol w:w="109"/>
        <w:gridCol w:w="211"/>
        <w:gridCol w:w="421"/>
        <w:gridCol w:w="109"/>
        <w:gridCol w:w="211"/>
        <w:gridCol w:w="526"/>
      </w:tblGrid>
      <w:tr>
        <w:trPr/>
        <w:tc>
          <w:tcPr>
            <w:tcW w:w="20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1276985" cy="175260"/>
                      <wp:effectExtent l="0" t="0" r="0" b="0"/>
                      <wp:wrapNone/>
                      <wp:docPr id="95" name="Frame95"/>
                      <a:graphic xmlns:a="http://schemas.openxmlformats.org/drawingml/2006/main">
                        <a:graphicData uri="http://schemas.microsoft.com/office/word/2010/wordprocessingShape">
                          <wps:wsp>
                            <wps:cNvSpPr txBox="1"/>
                            <wps:spPr>
                              <a:xfrm>
                                <a:off x="0" y="0"/>
                                <a:ext cx="1276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9215" cy="175260"/>
                      <wp:effectExtent l="0" t="0" r="0" b="0"/>
                      <wp:wrapNone/>
                      <wp:docPr id="96" name="Frame9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133985" cy="175260"/>
                      <wp:effectExtent l="0" t="0" r="0" b="0"/>
                      <wp:wrapNone/>
                      <wp:docPr id="97" name="Frame9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267335" cy="175260"/>
                      <wp:effectExtent l="0" t="0" r="0" b="0"/>
                      <wp:wrapNone/>
                      <wp:docPr id="98" name="Frame98"/>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9215" cy="175260"/>
                      <wp:effectExtent l="0" t="0" r="0" b="0"/>
                      <wp:wrapNone/>
                      <wp:docPr id="99" name="Frame9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133985" cy="175260"/>
                      <wp:effectExtent l="0" t="0" r="0" b="0"/>
                      <wp:wrapNone/>
                      <wp:docPr id="100" name="Frame10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334010" cy="175260"/>
                      <wp:effectExtent l="0" t="0" r="0" b="0"/>
                      <wp:wrapNone/>
                      <wp:docPr id="101" name="Frame101"/>
                      <a:graphic xmlns:a="http://schemas.openxmlformats.org/drawingml/2006/main">
                        <a:graphicData uri="http://schemas.microsoft.com/office/word/2010/wordprocessingShape">
                          <wps:wsp>
                            <wps:cNvSpPr txBox="1"/>
                            <wps:spPr>
                              <a:xfrm>
                                <a:off x="0" y="0"/>
                                <a:ext cx="334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01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478"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 </w:t>
            </w:r>
          </w:p>
        </w:tc>
      </w:tr>
      <w:tr>
        <w:trPr/>
        <w:tc>
          <w:tcPr>
            <w:tcW w:w="201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63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09" w:type="dxa"/>
            <w:tcBorders/>
            <w:vAlign w:val="center"/>
          </w:tcPr>
          <w:p>
            <w:pPr>
              <w:pStyle w:val="TableContents"/>
              <w:bidi w:val="0"/>
              <w:spacing w:before="0" w:after="1"/>
              <w:ind w:left="0" w:right="0" w:hanging="0"/>
              <w:jc w:val="left"/>
              <w:rPr/>
            </w:pPr>
            <w:r>
              <w:rPr/>
              <w:t>​</w:t>
            </w:r>
          </w:p>
        </w:tc>
        <w:tc>
          <w:tcPr>
            <w:tcW w:w="73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20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Product sales, net: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42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26" w:type="dxa"/>
            <w:tcBorders/>
            <w:shd w:fill="CCEEFF" w:val="clear"/>
            <w:vAlign w:val="center"/>
          </w:tcPr>
          <w:p>
            <w:pPr>
              <w:pStyle w:val="TableContents"/>
              <w:bidi w:val="0"/>
              <w:spacing w:before="0" w:after="1"/>
              <w:ind w:left="0" w:right="0" w:hanging="0"/>
              <w:jc w:val="right"/>
              <w:rPr/>
            </w:pPr>
            <w:r>
              <w:rPr/>
              <w:t>​</w:t>
            </w:r>
          </w:p>
        </w:tc>
      </w:tr>
      <w:tr>
        <w:trPr/>
        <w:tc>
          <w:tcPr>
            <w:tcW w:w="20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United States</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26" w:type="dxa"/>
            <w:tcBorders/>
            <w:vAlign w:val="center"/>
          </w:tcPr>
          <w:p>
            <w:pPr>
              <w:pStyle w:val="TableContents"/>
              <w:bidi w:val="0"/>
              <w:spacing w:before="0" w:after="1"/>
              <w:ind w:left="0" w:right="0" w:hanging="0"/>
              <w:jc w:val="right"/>
              <w:rPr/>
            </w:pPr>
            <w:r>
              <w:rPr/>
              <w:t>—</w:t>
            </w:r>
          </w:p>
        </w:tc>
      </w:tr>
      <w:tr>
        <w:trPr/>
        <w:tc>
          <w:tcPr>
            <w:tcW w:w="20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Canada</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2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183</w:t>
            </w:r>
          </w:p>
        </w:tc>
      </w:tr>
      <w:tr>
        <w:trPr/>
        <w:tc>
          <w:tcPr>
            <w:tcW w:w="20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product sales, net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4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106</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2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183</w:t>
            </w:r>
          </w:p>
        </w:tc>
      </w:tr>
      <w:tr>
        <w:trPr/>
        <w:tc>
          <w:tcPr>
            <w:tcW w:w="20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revenue</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42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w:t>
            </w:r>
          </w:p>
        </w:tc>
      </w:tr>
      <w:tr>
        <w:trPr/>
        <w:tc>
          <w:tcPr>
            <w:tcW w:w="20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revenue</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2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111</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26"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190</w:t>
            </w:r>
          </w:p>
        </w:tc>
      </w:tr>
    </w:tbl>
    <w:p>
      <w:pPr>
        <w:pStyle w:val="TextBody"/>
        <w:bidi w:val="0"/>
        <w:spacing w:before="0" w:after="0"/>
        <w:ind w:left="0" w:right="0" w:hanging="0"/>
        <w:jc w:val="left"/>
        <w:rPr/>
      </w:pPr>
      <w:r>
        <w:rPr/>
        <w:t>​</w:t>
      </w:r>
    </w:p>
    <w:p>
      <w:pPr>
        <w:pStyle w:val="TextBody"/>
        <w:bidi w:val="0"/>
        <w:spacing w:before="240" w:after="240"/>
        <w:ind w:left="0" w:right="0" w:hanging="0"/>
        <w:jc w:val="left"/>
        <w:rPr>
          <w:rFonts w:ascii="Times New Roman;Times;serif" w:hAnsi="Times New Roman;Times;serif"/>
          <w:sz w:val="20"/>
        </w:rPr>
      </w:pPr>
      <w:r>
        <w:rPr>
          <w:rFonts w:ascii="Times New Roman;Times;serif" w:hAnsi="Times New Roman;Times;serif"/>
          <w:sz w:val="20"/>
        </w:rPr>
        <w:t>A single customer accounted for 14% of net product sales for the three months ended March 31, 2023 and 67% of accounts receivable, net as of March 31, 2023. A single customer accounted for 68% of net product sales for the three months ended March 31, 2022 and 89% of accounts receivable, net as of December 31, 2022.</w:t>
      </w:r>
    </w:p>
    <w:p>
      <w:pPr>
        <w:pStyle w:val="TextBody"/>
        <w:bidi w:val="0"/>
        <w:spacing w:before="240" w:after="240"/>
        <w:ind w:left="0" w:right="0" w:hanging="0"/>
        <w:jc w:val="left"/>
        <w:rPr/>
      </w:pPr>
      <w:r>
        <w:rPr/>
        <w:t>​</w:t>
      </w:r>
    </w:p>
    <w:p>
      <w:pPr>
        <w:pStyle w:val="TextBody"/>
        <w:bidi w:val="0"/>
        <w:spacing w:before="24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661" w:name="ITEM2MANAGEMENTSDISCUSSIONANDANALYSISOFF"/>
      <w:bookmarkStart w:id="662" w:name="_f9cb7de7_0f6f_4147_b1d7_49f7a431c038"/>
      <w:bookmarkEnd w:id="661"/>
      <w:bookmarkEnd w:id="662"/>
      <w:r>
        <w:rPr>
          <w:rFonts w:ascii="Times New Roman;Times;serif" w:hAnsi="Times New Roman;Times;serif"/>
          <w:b/>
          <w:sz w:val="20"/>
        </w:rPr>
        <w:t>ITEM 2.    MANAGEMENT’S DISCUSSION AND ANALYSIS OF FINANCIAL CONDITION AND RESULTS OF OPERATIONS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Unless otherwise specified or the context otherwise requires, references to “we,” “us,” “our,” “Helius” or “Company” mean Helius Medical Technologies, Inc. and its wholly owned operating subsidiaries, Helius Medical, Inc. (“HMI”) and Helius Medical Technologies (Canada), Inc. (“HMC”). The interim financial statements and this Management’s Discussion and Analysis of Financial Condition and Results of Operations should be read in conjunction with the financial statements and notes thereto for the year ended December 31, 2022, and the related Management’s Discussion and Analysis of Financial Condition and Results of Operations, both of which are contained in our Annual Report on Form 10-K for the year ended December 31, 2022 filed with the Securities and Exchange Commission (“SEC”) on March 9, 2023 (the “2022 10-K”). All financial information is stated in U.S. dollars unless otherwise specified. Our Unaudited Condensed Consolidated Financial Statements are prepared in accordance with accounting principles generally accepted in the United States (“U.S. GAAP”).</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FORWARD-LOOKING STATEMENTS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This Quarterly Report on Form 10-Q contains forward-looking statements that involve risks and uncertainties, including statements regarding our market, strategy, competition, capital needs, business plans and expectations. Any statements contained herein that are not statements of historical facts may be deemed to be forward-looking statements. In some cases, you can identify forward-looking statements by terminology such as “may”, “will”, “should”, “expect”, “plan”, “intend”, “anticipate”, “believe”, “estimate”, “predict”, “potential” or “continue”, the negative of such terms or other comparable terminology. Forward-looking statements are made, without limitation, in relation to operating plans, including expected enrollment, the issuance by CMS of rules regarding coverage of emerging technologies, patient participation and other details of the PoNSTEP study, sufficiency of cash, availability of funds and operating costs. Such forward-looking statements involve risks and uncertainties, known and unknown, including capital requirements to achieve our business objectives, disruptions in the banking system and financial markets, the COVID 19 pandemic, including its impact on our Company, the effect of inflation and increased interest rates on our ability to operate our business and access capital markets, the success of our business plan, including our ability to secure contracts with rehabilitation clinics, obtain national Medicare coverage and a reimbursement code so that the PoNS device is covered by Medicare and Medicaid, to build internal commercial infrastructure, secure state distribution licenses, build a commercial team and build relationships with Key Opinion Leaders, neurology experts and neurorehabilitation centers, market awareness of the PoNS device, availability of funds, manufacturing, labor shortage and supply chain risks, our ability to maintain and enforce our intellectual property rights, clinical trials and the clinical development process, the product development process, the regulatory submission review and approval process, our operating costs and use of cash, and our ability to achieve significant revenues and other factors discussed in the section entitled “Item 1A. Risk Factors” in this Quarterly Report on Form 10-Q and in our 2022 10-K and those described from time to time in our future reports filed with the SEC. While these forward-looking statements, and any assumptions upon which they are based, are made in good faith, based on information available to us as of the date hereof, and reflect our current judgment regarding our business plans, we cannot guarantee future results, events, levels of activity, performance or achievement and our actual results will almost always vary, sometimes materially, from any estimates, predictions, projections, assumptions or other future performance suggested herein. We do not intend, and undertake no obligation, to update or revise any of the forward-looking statements as a result of new information, future events or otherwise or to conform these statements to actual results, except as required by applicable law, including the securities laws of the United States.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following discussion and analysis of our financial condition and results of operations should be read in conjunction with our unaudited condensed consolidated financial statements and related notes appearing elsewhere in this Quarterly Report on Form 10-Q.</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Company Overview</w:t>
      </w:r>
    </w:p>
    <w:p>
      <w:pPr>
        <w:pStyle w:val="TextBody"/>
        <w:bidi w:val="0"/>
        <w:spacing w:before="0" w:after="240"/>
        <w:ind w:left="0" w:right="0" w:hanging="0"/>
        <w:jc w:val="left"/>
        <w:rPr>
          <w:rFonts w:ascii="Times New Roman;Times;serif" w:hAnsi="Times New Roman;Times;serif"/>
          <w:b w:val="false"/>
          <w:sz w:val="20"/>
        </w:rPr>
      </w:pPr>
      <w:r>
        <w:rPr>
          <w:rFonts w:ascii="Times New Roman;Times;serif" w:hAnsi="Times New Roman;Times;serif"/>
          <w:b w:val="false"/>
          <w:sz w:val="20"/>
        </w:rPr>
        <w:t>We are a neurotechnology company focused on neurological wellness. Our purpose is to develop, license or acquire non-implantable technologies targeted at reducing symptoms of neurological disease or trauma.</w:t>
      </w:r>
    </w:p>
    <w:p>
      <w:pPr>
        <w:pStyle w:val="TextBody"/>
        <w:bidi w:val="0"/>
        <w:spacing w:lineRule="auto" w:line="240" w:before="0" w:after="240"/>
        <w:ind w:left="0" w:right="0" w:hanging="0"/>
        <w:jc w:val="left"/>
        <w:rPr>
          <w:rFonts w:ascii="Times New Roman;Times;serif" w:hAnsi="Times New Roman;Times;serif"/>
          <w:b/>
          <w:sz w:val="20"/>
        </w:rPr>
      </w:pPr>
      <w:r>
        <w:rPr>
          <w:rFonts w:ascii="Times New Roman;Times;serif" w:hAnsi="Times New Roman;Times;serif"/>
          <w:b w:val="false"/>
          <w:sz w:val="20"/>
        </w:rPr>
        <w:t>Our product, known as the Portable Neuromodulation Stimulator, or PoNS®, is an innovative non-implantable medical device, inclusive of a controller and mouthpiece, which delivers mild electrical stimulation to the surface of the tongue to provide treatment of gait deficit and chronic balance deficit. PoNS Therapy</w:t>
      </w:r>
      <w:r>
        <w:rPr>
          <w:rFonts w:ascii="Times New Roman;Times;serif" w:hAnsi="Times New Roman;Times;serif"/>
          <w:b w:val="false"/>
          <w:sz w:val="15"/>
        </w:rPr>
        <w:t>TM</w:t>
      </w:r>
      <w:r>
        <w:rPr>
          <w:rFonts w:ascii="Times New Roman;Times;serif" w:hAnsi="Times New Roman;Times;serif"/>
          <w:b/>
          <w:sz w:val="20"/>
        </w:rPr>
        <w:t xml:space="preserve"> </w:t>
      </w:r>
      <w:r>
        <w:rPr>
          <w:rFonts w:ascii="Times New Roman;Times;serif" w:hAnsi="Times New Roman;Times;serif"/>
          <w:b w:val="false"/>
          <w:sz w:val="20"/>
        </w:rPr>
        <w:t>is integral to the overall PoNS solution and is the physical therapy applied by patients during use of the PoNS neuromodulation stimulator. PoNS has marketing clearance in the U.S. for use as a short-term treatment of gait deficit due to mild-to-moderate symptoms for MS, and is to be used as an adjunct to a supervised therapeutic exercise program in patients 22 years of age and over by prescription only. We began accepting prescriptions for PoNS in the U.S. in March 2022, and commercial sales of PoNS commenced in April 2022. PoNS is authorized for sale in Canada for three indications: (i) for use as a short term treatment (14 weeks) of chronic balance deficit due to mild-to-moderate traumatic brain injury, or mmTBI, and is to be used in conjunction with physical therapy; (ii) for use as a short term treatment (14 weeks) of gait deficit due to mild and moderate symptoms from MS and it is to be used in conjunction with physical therapy; and (iii) as a short term treatment (14 weeks) of gait deficit due to mild and moderate symptoms from stroke, to be used in conjunction with physical therapy. It has been commercially available in Canada since March 2019. PoNS is authorized for sale as a Class IIa medical device in Australia and we have been seeking a business partner to commercialize and distribute PoNS in Australia.</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Recent Developments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Corporate Updates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On April 21, 2023, we filed a definitive proxy statement seeking stockholder approval for a reverse stock split of our outstanding Class A common stock at a ratio in the range of 1-for-10 to 1-for-80.</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On March 23, 2023, our Board of Directors declared a dividend of one one-thousandth of a share of our Series B Preferred Stock, par value $0.001 per share (“Series B Preferred Stock”), on each outstanding share of our Class A common stock, to stockholders of record on April 3, 2023. Refer to Note 6 to our Unaudited Condensed Consolidated Financial Statements for additional information.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On March 21, 2023, we received a letter from the Listing Qualifications Staff of The Nasdaq Stock Market, LLC (“Nasdaq”) notifying the Company that Nasdaq has granted the Company a 180-day extension, until September 18, 2023, to regain compliance with the requirement for the Company’s Class A common stock, to maintain a minimum bid price of $1.00 per share for continued listing on the Nasdaq Capital Market, as set forth in Nasdaq Listing Rule 5550(a) (2).</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On March 8, 2023, we received marketing authorization from Health Canada allowing us to commercialize the PoNS device in Canada for use as a short-term treatment of gait deficit due to mild and moderate symptoms from stroke. This expands our addressable market in Canada to include a patient population seeking treatment options that may resolve stroke gait deficit symptoms.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Pursuant to an Exclusive Distribution Agreement with Health Tech Connex Inc. (“HTC”) (“Exclusivity Agreement”), subject to certain terms and conditions, we granted to HTC the exclusive right to provide the PoNS Therapy in the Fraser Valley and Vancouver metro regions of British Columbia. HTC is to purchase the PoNS devices for use in these regions exclusively from us and on terms no less favorable than the then-current standard terms and conditions. The initial term of the Exclusivity Agreement expires on December 31, 2027, and is renewable by HTC for one additional five-year term. Refer to Note 3 to our Unaudited Condensed Consolidated Financial Statements for additional information.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i w:val="false"/>
          <w:caps w:val="false"/>
          <w:smallCaps w:val="false"/>
          <w:sz w:val="20"/>
        </w:rPr>
      </w:pPr>
      <w:r>
        <w:rPr>
          <w:rFonts w:ascii="Times New Roman;Times;serif" w:hAnsi="Times New Roman;Times;serif"/>
          <w:i w:val="false"/>
          <w:caps w:val="false"/>
          <w:smallCaps w:val="false"/>
          <w:sz w:val="20"/>
        </w:rPr>
        <w:t>Presently, PoNS Therapy is not covered by Center for Medicare and Medicaid (“CMS”) or reimbursed by any third-party payors in the U.S. We are pursuing commercial insurance coverage and Medicare reimbursement for PoNS within the Durable Medical Equipment, or DME, benefit category. While there are currently no applicable Healthcare Common Procedure Coding System, or HCPCS, codes to describe the PoNS device or mouthpiece, we intend to use miscellaneous codes – E1399 (Miscellaneous durable medical equipment) and A9999 (Miscellaneous DME supply or accessory, not otherwise specified) until specific HCPCS codes are created. We initially applied for unique HCPCS codes during the third quarter of 2021. In order to address CMS’s request for additional information to “further understand the PoNS device indication for use,” we decided to move forward and collect additional clinical and real-world data. As such, through our ongoing PoNSTEP study and ongoing registry program, we plan to resubmit for unique HCPCS codes upon availability of a body of evidence that we consider adequate and sufficient to address CMS’s questions. We expect to re-engage with CMS in mid 2023.</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will continue to monitor the development of CMS’s new pathway for coverage of innovative new devices, Transitional Coverage of Emerging Technology (“TCET”), which is replacing the repealed Medicare Coverage of Innovative Technologies (“MCIT”) rule. CMS is expected to share more about TCET with the public for comments in 2023. As we follow the evolution of TCET, we will continue to assess our evidence generation strategy to reach the greatest potential to gain CMS reimbursement benefits as a result of our Breakthrough designation in MS.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also intend to provide broad access and reimbursement for the PoNS Therapy over time through commercial insurers. Prior to the initiation of CMS or broad commercial payer coverage, we anticipate the primary source of sales will be self-pay patients. We expect to support the cost of the PoNS Therapy by offering a cash pay discount, collaborating with third parties to provide self-pay patients with financing options as well as working with advocacy groups and charitable organizations to help self-pay patients access our technology. In general, we anticipate that it will take at least 24 months to obtain broad coverage and reimbursement among government and private payers.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launched an e-commerce site in the U.S. in December 2022 and began processing orders in January 2023. Accessed via ponstherapy.com, the site is powered through a new partnership with UpScriptHealth, a leading telehealth company focused on making medications and devices available direct-to-consumer. UpScriptHealth’s platform provides for (1) online health evaluations with qualified medical providers; (2) fulfillment of prescriptions required for PoNS Therapy; and (3) shipping of PoNS devices directly to the homes of eligible patients in the United States. The UpScriptHealth platform makes it possible for people with MS to have a PoNS device delivered directly to their doorstep.</w:t>
      </w:r>
    </w:p>
    <w:p>
      <w:pPr>
        <w:pStyle w:val="TextBody"/>
        <w:bidi w:val="0"/>
        <w:spacing w:before="0" w:after="240"/>
        <w:ind w:left="0" w:right="0" w:hanging="0"/>
        <w:jc w:val="left"/>
        <w:rPr>
          <w:rFonts w:ascii="Times New Roman;Times;serif" w:hAnsi="Times New Roman;Times;serif"/>
          <w:i w:val="false"/>
          <w:caps w:val="false"/>
          <w:smallCaps w:val="false"/>
          <w:sz w:val="20"/>
        </w:rPr>
      </w:pPr>
      <w:r>
        <w:rPr>
          <w:rFonts w:ascii="Times New Roman;Times;serif" w:hAnsi="Times New Roman;Times;serif"/>
          <w:i w:val="false"/>
          <w:caps w:val="false"/>
          <w:smallCaps w:val="false"/>
          <w:sz w:val="20"/>
        </w:rPr>
        <w:t>Our Patient Therapy Access Program (“PTAP”), launched in June 2022 and expected to run through June 2023, provides qualifying patients access to PoNS therapy at a significantly reduced price. To qualify for the PTAP pricing, the patient must provide a letter of medical necessity and consent to the release of their medical records for the last two years. Because of the significantly reduced price, the patient must also sign a document that prohibits him/her from submitting a reimbursement claim to third-party payers. PTAP participants will also be invited to join the Company’s registry program, which is designed to collect important health information to establish the value of PoNS on key therapeutic outcomes and will supplement the data collected through clinical trials and real-world data.</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Material Trends and Uncertainties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 xml:space="preserve">Global Economic Conditions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Generally, worldwide economic conditions remain uncertain, particularly due to the conflict between Russia and Ukraine, disruptions in the banking system and financial markets, the lingering effects of the COVID-19 pandemic and increased inflation. The general economic and capital market conditions both in the U.S. and worldwide, have been volatile in the past and at times have adversely affected our access to capital and increased the cost of capital. The capital and credit markets may not be available to support future capital raising activity on favorable terms. If economic conditions decline, our future cost of equity or debt capital and access to the capital markets could be adversely affected.</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The COVID-19 pandemic that began in late 2019 introduced significant volatility to the global economy, disrupted supply chains and had a widespread adverse effect on the financial markets. Additionally, our operating results could be materially impacted by changes in the overall macroeconomic environment and other economic factors. Changes in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economic conditions, supply chain constraints, logistics challenges, labor shortages, disruptions in the banking system and financial markets, the conflict in Ukraine, and steps taken by governments and central banks, particularly in response to the COVID-19 pandemic as well as other stimulus and spending programs, have led to higher inflation, which has led to an increase in costs and has caused changes in fiscal and monetary policy, including increased interest rates. Although we may take measures to mitigate these impacts, if these measures are not effective, our business, financial condition, results of operations, and liquidity could be materially adversely affected.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Results of Operations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Three Months Ended March 31, 2023 compared to the Three Months Ended March 31, 2022</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following table summarizes our results of operations for the three months ended March 31, 2023 and 2022 (in thousands):</w:t>
      </w:r>
    </w:p>
    <w:p>
      <w:pPr>
        <w:pStyle w:val="TextBody"/>
        <w:bidi w:val="0"/>
        <w:spacing w:before="0" w:after="240"/>
        <w:ind w:left="0" w:right="0" w:hanging="0"/>
        <w:jc w:val="left"/>
        <w:rPr/>
      </w:pPr>
      <w:r>
        <w:rPr/>
        <w:t>​</w:t>
      </w:r>
    </w:p>
    <w:tbl>
      <w:tblPr>
        <w:tblW w:w="7539" w:type="dxa"/>
        <w:jc w:val="left"/>
        <w:tblInd w:w="0" w:type="dxa"/>
        <w:tblLayout w:type="fixed"/>
        <w:tblCellMar>
          <w:top w:w="0" w:type="dxa"/>
          <w:left w:w="0" w:type="dxa"/>
          <w:bottom w:w="0" w:type="dxa"/>
          <w:right w:w="0" w:type="dxa"/>
        </w:tblCellMar>
      </w:tblPr>
      <w:tblGrid>
        <w:gridCol w:w="3556"/>
        <w:gridCol w:w="326"/>
        <w:gridCol w:w="242"/>
        <w:gridCol w:w="793"/>
        <w:gridCol w:w="374"/>
        <w:gridCol w:w="242"/>
        <w:gridCol w:w="793"/>
        <w:gridCol w:w="326"/>
        <w:gridCol w:w="211"/>
        <w:gridCol w:w="676"/>
      </w:tblGrid>
      <w:tr>
        <w:trPr/>
        <w:tc>
          <w:tcPr>
            <w:tcW w:w="35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2258060" cy="175260"/>
                      <wp:effectExtent l="0" t="0" r="0" b="0"/>
                      <wp:wrapNone/>
                      <wp:docPr id="102" name="Frame102"/>
                      <a:graphic xmlns:a="http://schemas.openxmlformats.org/drawingml/2006/main">
                        <a:graphicData uri="http://schemas.microsoft.com/office/word/2010/wordprocessingShape">
                          <wps:wsp>
                            <wps:cNvSpPr txBox="1"/>
                            <wps:spPr>
                              <a:xfrm>
                                <a:off x="0" y="0"/>
                                <a:ext cx="2258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207010" cy="175260"/>
                      <wp:effectExtent l="0" t="0" r="0" b="0"/>
                      <wp:wrapNone/>
                      <wp:docPr id="103" name="Frame10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153670" cy="175260"/>
                      <wp:effectExtent l="0" t="0" r="0" b="0"/>
                      <wp:wrapNone/>
                      <wp:docPr id="104" name="Frame104"/>
                      <a:graphic xmlns:a="http://schemas.openxmlformats.org/drawingml/2006/main">
                        <a:graphicData uri="http://schemas.microsoft.com/office/word/2010/wordprocessingShape">
                          <wps:wsp>
                            <wps:cNvSpPr txBox="1"/>
                            <wps:spPr>
                              <a:xfrm>
                                <a:off x="0" y="0"/>
                                <a:ext cx="1536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503555" cy="175260"/>
                      <wp:effectExtent l="0" t="0" r="0" b="0"/>
                      <wp:wrapNone/>
                      <wp:docPr id="105" name="Frame105"/>
                      <a:graphic xmlns:a="http://schemas.openxmlformats.org/drawingml/2006/main">
                        <a:graphicData uri="http://schemas.microsoft.com/office/word/2010/wordprocessingShape">
                          <wps:wsp>
                            <wps:cNvSpPr txBox="1"/>
                            <wps:spPr>
                              <a:xfrm>
                                <a:off x="0" y="0"/>
                                <a:ext cx="5035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237490" cy="175260"/>
                      <wp:effectExtent l="0" t="0" r="0" b="0"/>
                      <wp:wrapNone/>
                      <wp:docPr id="106" name="Frame106"/>
                      <a:graphic xmlns:a="http://schemas.openxmlformats.org/drawingml/2006/main">
                        <a:graphicData uri="http://schemas.microsoft.com/office/word/2010/wordprocessingShape">
                          <wps:wsp>
                            <wps:cNvSpPr txBox="1"/>
                            <wps:spPr>
                              <a:xfrm>
                                <a:off x="0" y="0"/>
                                <a:ext cx="2374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153670" cy="175260"/>
                      <wp:effectExtent l="0" t="0" r="0" b="0"/>
                      <wp:wrapNone/>
                      <wp:docPr id="107" name="Frame107"/>
                      <a:graphic xmlns:a="http://schemas.openxmlformats.org/drawingml/2006/main">
                        <a:graphicData uri="http://schemas.microsoft.com/office/word/2010/wordprocessingShape">
                          <wps:wsp>
                            <wps:cNvSpPr txBox="1"/>
                            <wps:spPr>
                              <a:xfrm>
                                <a:off x="0" y="0"/>
                                <a:ext cx="1536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503555" cy="175260"/>
                      <wp:effectExtent l="0" t="0" r="0" b="0"/>
                      <wp:wrapNone/>
                      <wp:docPr id="108" name="Frame108"/>
                      <a:graphic xmlns:a="http://schemas.openxmlformats.org/drawingml/2006/main">
                        <a:graphicData uri="http://schemas.microsoft.com/office/word/2010/wordprocessingShape">
                          <wps:wsp>
                            <wps:cNvSpPr txBox="1"/>
                            <wps:spPr>
                              <a:xfrm>
                                <a:off x="0" y="0"/>
                                <a:ext cx="5035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207010" cy="175260"/>
                      <wp:effectExtent l="0" t="0" r="0" b="0"/>
                      <wp:wrapNone/>
                      <wp:docPr id="109" name="Frame10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133985" cy="175260"/>
                      <wp:effectExtent l="0" t="0" r="0" b="0"/>
                      <wp:wrapNone/>
                      <wp:docPr id="110" name="Frame11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429260" cy="175260"/>
                      <wp:effectExtent l="0" t="0" r="0" b="0"/>
                      <wp:wrapNone/>
                      <wp:docPr id="111" name="Frame111"/>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5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44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March 31, </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center"/>
              <w:rPr/>
            </w:pPr>
            <w:r>
              <w:rPr/>
              <w:t>​</w:t>
            </w:r>
          </w:p>
        </w:tc>
      </w:tr>
      <w:tr>
        <w:trPr/>
        <w:tc>
          <w:tcPr>
            <w:tcW w:w="35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03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74"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r>
      <w:tr>
        <w:trPr/>
        <w:tc>
          <w:tcPr>
            <w:tcW w:w="355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Revenue:</w:t>
            </w:r>
          </w:p>
        </w:tc>
        <w:tc>
          <w:tcPr>
            <w:tcW w:w="326" w:type="dxa"/>
            <w:tcBorders/>
            <w:shd w:fill="CCEEFF" w:val="clear"/>
            <w:vAlign w:val="center"/>
          </w:tcPr>
          <w:p>
            <w:pPr>
              <w:pStyle w:val="TableContents"/>
              <w:bidi w:val="0"/>
              <w:spacing w:before="0" w:after="0"/>
              <w:ind w:left="0" w:right="0" w:hanging="0"/>
              <w:jc w:val="left"/>
              <w:rPr/>
            </w:pPr>
            <w:r>
              <w:rPr/>
              <w:t> </w:t>
            </w:r>
          </w:p>
        </w:tc>
        <w:tc>
          <w:tcPr>
            <w:tcW w:w="242" w:type="dxa"/>
            <w:tcBorders/>
            <w:shd w:fill="CCEEFF" w:val="clear"/>
            <w:vAlign w:val="center"/>
          </w:tcPr>
          <w:p>
            <w:pPr>
              <w:pStyle w:val="TableContents"/>
              <w:bidi w:val="0"/>
              <w:spacing w:before="0" w:after="0"/>
              <w:ind w:left="0" w:right="0" w:hanging="0"/>
              <w:jc w:val="left"/>
              <w:rPr/>
            </w:pPr>
            <w:r>
              <w:rPr/>
              <w:t>​</w:t>
            </w:r>
          </w:p>
        </w:tc>
        <w:tc>
          <w:tcPr>
            <w:tcW w:w="793" w:type="dxa"/>
            <w:tcBorders/>
            <w:shd w:fill="CCEEFF" w:val="clear"/>
            <w:vAlign w:val="center"/>
          </w:tcPr>
          <w:p>
            <w:pPr>
              <w:pStyle w:val="TableContents"/>
              <w:bidi w:val="0"/>
              <w:spacing w:before="0" w:after="0"/>
              <w:ind w:left="0" w:right="0" w:hanging="0"/>
              <w:jc w:val="right"/>
              <w:rPr/>
            </w:pPr>
            <w:r>
              <w:rPr/>
              <w:t>  </w:t>
            </w:r>
          </w:p>
        </w:tc>
        <w:tc>
          <w:tcPr>
            <w:tcW w:w="374" w:type="dxa"/>
            <w:tcBorders/>
            <w:shd w:fill="CCEEFF" w:val="clear"/>
            <w:vAlign w:val="center"/>
          </w:tcPr>
          <w:p>
            <w:pPr>
              <w:pStyle w:val="TableContents"/>
              <w:bidi w:val="0"/>
              <w:spacing w:before="0" w:after="0"/>
              <w:ind w:left="0" w:right="0" w:hanging="0"/>
              <w:jc w:val="left"/>
              <w:rPr/>
            </w:pPr>
            <w:r>
              <w:rPr/>
              <w:t> </w:t>
            </w:r>
          </w:p>
        </w:tc>
        <w:tc>
          <w:tcPr>
            <w:tcW w:w="242" w:type="dxa"/>
            <w:tcBorders/>
            <w:shd w:fill="CCEEFF" w:val="clear"/>
            <w:vAlign w:val="center"/>
          </w:tcPr>
          <w:p>
            <w:pPr>
              <w:pStyle w:val="TableContents"/>
              <w:bidi w:val="0"/>
              <w:spacing w:before="0" w:after="0"/>
              <w:ind w:left="0" w:right="0" w:hanging="0"/>
              <w:jc w:val="left"/>
              <w:rPr/>
            </w:pPr>
            <w:r>
              <w:rPr/>
              <w:t>​</w:t>
            </w:r>
          </w:p>
        </w:tc>
        <w:tc>
          <w:tcPr>
            <w:tcW w:w="793"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  </w:t>
            </w:r>
          </w:p>
        </w:tc>
      </w:tr>
      <w:tr>
        <w:trPr/>
        <w:tc>
          <w:tcPr>
            <w:tcW w:w="35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Product sales, net:</w:t>
            </w:r>
          </w:p>
        </w:tc>
        <w:tc>
          <w:tcPr>
            <w:tcW w:w="326"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pPr>
            <w:r>
              <w:rPr/>
              <w:t>​</w:t>
            </w:r>
          </w:p>
        </w:tc>
        <w:tc>
          <w:tcPr>
            <w:tcW w:w="793" w:type="dxa"/>
            <w:tcBorders/>
            <w:vAlign w:val="center"/>
          </w:tcPr>
          <w:p>
            <w:pPr>
              <w:pStyle w:val="TableContents"/>
              <w:bidi w:val="0"/>
              <w:spacing w:before="0" w:after="0"/>
              <w:ind w:left="0" w:right="0" w:hanging="0"/>
              <w:jc w:val="right"/>
              <w:rPr/>
            </w:pPr>
            <w:r>
              <w:rPr/>
              <w:t>​</w:t>
            </w:r>
          </w:p>
        </w:tc>
        <w:tc>
          <w:tcPr>
            <w:tcW w:w="374"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pPr>
            <w:r>
              <w:rPr/>
              <w:t>​</w:t>
            </w:r>
          </w:p>
        </w:tc>
        <w:tc>
          <w:tcPr>
            <w:tcW w:w="79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r>
      <w:tr>
        <w:trPr/>
        <w:tc>
          <w:tcPr>
            <w:tcW w:w="35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United States</w:t>
            </w:r>
          </w:p>
        </w:tc>
        <w:tc>
          <w:tcPr>
            <w:tcW w:w="326"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w:t>
            </w:r>
          </w:p>
        </w:tc>
        <w:tc>
          <w:tcPr>
            <w:tcW w:w="374"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w:t>
            </w:r>
          </w:p>
        </w:tc>
      </w:tr>
      <w:tr>
        <w:trPr/>
        <w:tc>
          <w:tcPr>
            <w:tcW w:w="35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Canada</w:t>
            </w:r>
          </w:p>
        </w:tc>
        <w:tc>
          <w:tcPr>
            <w:tcW w:w="326" w:type="dxa"/>
            <w:tcBorders/>
            <w:vAlign w:val="center"/>
          </w:tcPr>
          <w:p>
            <w:pPr>
              <w:pStyle w:val="TableContents"/>
              <w:bidi w:val="0"/>
              <w:spacing w:before="0" w:after="0"/>
              <w:ind w:left="0" w:right="0" w:hanging="0"/>
              <w:jc w:val="left"/>
              <w:rPr/>
            </w:pPr>
            <w:r>
              <w:rPr/>
              <w:t>​</w:t>
            </w:r>
          </w:p>
        </w:tc>
        <w:tc>
          <w:tcPr>
            <w:tcW w:w="24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w:t>
            </w:r>
          </w:p>
        </w:tc>
        <w:tc>
          <w:tcPr>
            <w:tcW w:w="374" w:type="dxa"/>
            <w:tcBorders/>
            <w:vAlign w:val="center"/>
          </w:tcPr>
          <w:p>
            <w:pPr>
              <w:pStyle w:val="TableContents"/>
              <w:bidi w:val="0"/>
              <w:spacing w:before="0" w:after="0"/>
              <w:ind w:left="0" w:right="0" w:hanging="0"/>
              <w:jc w:val="left"/>
              <w:rPr/>
            </w:pPr>
            <w:r>
              <w:rPr/>
              <w:t>​</w:t>
            </w:r>
          </w:p>
        </w:tc>
        <w:tc>
          <w:tcPr>
            <w:tcW w:w="24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183</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(152)</w:t>
            </w:r>
          </w:p>
        </w:tc>
      </w:tr>
      <w:tr>
        <w:trPr/>
        <w:tc>
          <w:tcPr>
            <w:tcW w:w="35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product sales, net</w:t>
            </w:r>
          </w:p>
        </w:tc>
        <w:tc>
          <w:tcPr>
            <w:tcW w:w="326"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pPr>
            <w:r>
              <w:rPr/>
              <w:t>​</w:t>
            </w:r>
          </w:p>
        </w:tc>
        <w:tc>
          <w:tcPr>
            <w:tcW w:w="7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w:t>
            </w:r>
          </w:p>
        </w:tc>
        <w:tc>
          <w:tcPr>
            <w:tcW w:w="374"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pPr>
            <w:r>
              <w:rPr/>
              <w:t>​</w:t>
            </w:r>
          </w:p>
        </w:tc>
        <w:tc>
          <w:tcPr>
            <w:tcW w:w="7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w:t>
            </w:r>
          </w:p>
        </w:tc>
      </w:tr>
      <w:tr>
        <w:trPr/>
        <w:tc>
          <w:tcPr>
            <w:tcW w:w="35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revenue</w:t>
            </w:r>
          </w:p>
        </w:tc>
        <w:tc>
          <w:tcPr>
            <w:tcW w:w="326" w:type="dxa"/>
            <w:tcBorders/>
            <w:vAlign w:val="center"/>
          </w:tcPr>
          <w:p>
            <w:pPr>
              <w:pStyle w:val="TableContents"/>
              <w:bidi w:val="0"/>
              <w:spacing w:before="0" w:after="0"/>
              <w:ind w:left="0" w:right="0" w:hanging="0"/>
              <w:jc w:val="left"/>
              <w:rPr/>
            </w:pPr>
            <w:r>
              <w:rPr/>
              <w:t>​</w:t>
            </w:r>
          </w:p>
        </w:tc>
        <w:tc>
          <w:tcPr>
            <w:tcW w:w="24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374" w:type="dxa"/>
            <w:tcBorders/>
            <w:vAlign w:val="center"/>
          </w:tcPr>
          <w:p>
            <w:pPr>
              <w:pStyle w:val="TableContents"/>
              <w:bidi w:val="0"/>
              <w:spacing w:before="0" w:after="0"/>
              <w:ind w:left="0" w:right="0" w:hanging="0"/>
              <w:jc w:val="left"/>
              <w:rPr/>
            </w:pPr>
            <w:r>
              <w:rPr/>
              <w:t>​</w:t>
            </w:r>
          </w:p>
        </w:tc>
        <w:tc>
          <w:tcPr>
            <w:tcW w:w="24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r>
      <w:tr>
        <w:trPr/>
        <w:tc>
          <w:tcPr>
            <w:tcW w:w="35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revenue</w:t>
            </w:r>
          </w:p>
        </w:tc>
        <w:tc>
          <w:tcPr>
            <w:tcW w:w="326"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pPr>
            <w:r>
              <w:rPr/>
              <w:t> </w:t>
            </w:r>
          </w:p>
        </w:tc>
        <w:tc>
          <w:tcPr>
            <w:tcW w:w="7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w:t>
            </w:r>
          </w:p>
        </w:tc>
        <w:tc>
          <w:tcPr>
            <w:tcW w:w="374"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pPr>
            <w:r>
              <w:rPr/>
              <w:t> </w:t>
            </w:r>
          </w:p>
        </w:tc>
        <w:tc>
          <w:tcPr>
            <w:tcW w:w="7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w:t>
            </w:r>
          </w:p>
        </w:tc>
      </w:tr>
      <w:tr>
        <w:trPr/>
        <w:tc>
          <w:tcPr>
            <w:tcW w:w="35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revenue</w:t>
            </w:r>
          </w:p>
        </w:tc>
        <w:tc>
          <w:tcPr>
            <w:tcW w:w="326" w:type="dxa"/>
            <w:tcBorders/>
            <w:vAlign w:val="center"/>
          </w:tcPr>
          <w:p>
            <w:pPr>
              <w:pStyle w:val="TableContents"/>
              <w:bidi w:val="0"/>
              <w:spacing w:before="0" w:after="0"/>
              <w:ind w:left="0" w:right="0" w:hanging="0"/>
              <w:jc w:val="left"/>
              <w:rPr/>
            </w:pPr>
            <w:r>
              <w:rPr/>
              <w:t>​</w:t>
            </w:r>
          </w:p>
        </w:tc>
        <w:tc>
          <w:tcPr>
            <w:tcW w:w="24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w:t>
            </w:r>
          </w:p>
        </w:tc>
        <w:tc>
          <w:tcPr>
            <w:tcW w:w="374" w:type="dxa"/>
            <w:tcBorders/>
            <w:vAlign w:val="center"/>
          </w:tcPr>
          <w:p>
            <w:pPr>
              <w:pStyle w:val="TableContents"/>
              <w:bidi w:val="0"/>
              <w:spacing w:before="0" w:after="0"/>
              <w:ind w:left="0" w:right="0" w:hanging="0"/>
              <w:jc w:val="left"/>
              <w:rPr/>
            </w:pPr>
            <w:r>
              <w:rPr/>
              <w:t>​</w:t>
            </w:r>
          </w:p>
        </w:tc>
        <w:tc>
          <w:tcPr>
            <w:tcW w:w="24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r>
      <w:tr>
        <w:trPr/>
        <w:tc>
          <w:tcPr>
            <w:tcW w:w="35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profit (loss)</w:t>
            </w:r>
          </w:p>
        </w:tc>
        <w:tc>
          <w:tcPr>
            <w:tcW w:w="326"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pPr>
            <w:r>
              <w:rPr/>
              <w:t> </w:t>
            </w:r>
          </w:p>
        </w:tc>
        <w:tc>
          <w:tcPr>
            <w:tcW w:w="7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374"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pPr>
            <w:r>
              <w:rPr/>
              <w:t> </w:t>
            </w:r>
          </w:p>
        </w:tc>
        <w:tc>
          <w:tcPr>
            <w:tcW w:w="7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w:t>
            </w:r>
          </w:p>
        </w:tc>
      </w:tr>
      <w:tr>
        <w:trPr/>
        <w:tc>
          <w:tcPr>
            <w:tcW w:w="355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Operating expenses:</w:t>
            </w:r>
          </w:p>
        </w:tc>
        <w:tc>
          <w:tcPr>
            <w:tcW w:w="326"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pPr>
            <w:r>
              <w:rPr/>
              <w:t> </w:t>
            </w:r>
          </w:p>
        </w:tc>
        <w:tc>
          <w:tcPr>
            <w:tcW w:w="793" w:type="dxa"/>
            <w:tcBorders/>
            <w:vAlign w:val="center"/>
          </w:tcPr>
          <w:p>
            <w:pPr>
              <w:pStyle w:val="TableContents"/>
              <w:bidi w:val="0"/>
              <w:spacing w:before="0" w:after="0"/>
              <w:ind w:left="0" w:right="0" w:hanging="0"/>
              <w:jc w:val="right"/>
              <w:rPr/>
            </w:pPr>
            <w:r>
              <w:rPr/>
              <w:t>  </w:t>
            </w:r>
          </w:p>
        </w:tc>
        <w:tc>
          <w:tcPr>
            <w:tcW w:w="374"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pPr>
            <w:r>
              <w:rPr/>
              <w:t> </w:t>
            </w:r>
          </w:p>
        </w:tc>
        <w:tc>
          <w:tcPr>
            <w:tcW w:w="793"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  </w:t>
            </w:r>
          </w:p>
        </w:tc>
      </w:tr>
      <w:tr>
        <w:trPr/>
        <w:tc>
          <w:tcPr>
            <w:tcW w:w="35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general and administrative</w:t>
            </w:r>
          </w:p>
        </w:tc>
        <w:tc>
          <w:tcPr>
            <w:tcW w:w="326"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pPr>
            <w:r>
              <w:rPr/>
              <w:t> </w:t>
            </w:r>
          </w:p>
        </w:tc>
        <w:tc>
          <w:tcPr>
            <w:tcW w:w="7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2,874</w:t>
            </w:r>
          </w:p>
        </w:tc>
        <w:tc>
          <w:tcPr>
            <w:tcW w:w="374"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pPr>
            <w:r>
              <w:rPr/>
              <w:t> </w:t>
            </w:r>
          </w:p>
        </w:tc>
        <w:tc>
          <w:tcPr>
            <w:tcW w:w="7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2,819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w:t>
            </w:r>
          </w:p>
        </w:tc>
      </w:tr>
      <w:tr>
        <w:trPr/>
        <w:tc>
          <w:tcPr>
            <w:tcW w:w="35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26"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pPr>
            <w:r>
              <w:rPr/>
              <w:t> </w:t>
            </w:r>
          </w:p>
        </w:tc>
        <w:tc>
          <w:tcPr>
            <w:tcW w:w="7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886</w:t>
            </w:r>
          </w:p>
        </w:tc>
        <w:tc>
          <w:tcPr>
            <w:tcW w:w="374"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pPr>
            <w:r>
              <w:rPr/>
              <w:t> </w:t>
            </w:r>
          </w:p>
        </w:tc>
        <w:tc>
          <w:tcPr>
            <w:tcW w:w="7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1,764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(878)</w:t>
            </w:r>
          </w:p>
        </w:tc>
      </w:tr>
      <w:tr>
        <w:trPr/>
        <w:tc>
          <w:tcPr>
            <w:tcW w:w="35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expense</w:t>
            </w:r>
          </w:p>
        </w:tc>
        <w:tc>
          <w:tcPr>
            <w:tcW w:w="326" w:type="dxa"/>
            <w:tcBorders/>
            <w:shd w:fill="CCEEFF" w:val="clear"/>
            <w:vAlign w:val="center"/>
          </w:tcPr>
          <w:p>
            <w:pPr>
              <w:pStyle w:val="TableContents"/>
              <w:bidi w:val="0"/>
              <w:spacing w:before="0" w:after="0"/>
              <w:ind w:left="0" w:right="0" w:hanging="0"/>
              <w:jc w:val="left"/>
              <w:rPr/>
            </w:pPr>
            <w:r>
              <w:rPr/>
              <w:t>​</w:t>
            </w:r>
          </w:p>
        </w:tc>
        <w:tc>
          <w:tcPr>
            <w:tcW w:w="24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w:t>
            </w:r>
          </w:p>
        </w:tc>
        <w:tc>
          <w:tcPr>
            <w:tcW w:w="374" w:type="dxa"/>
            <w:tcBorders/>
            <w:shd w:fill="CCEEFF" w:val="clear"/>
            <w:vAlign w:val="center"/>
          </w:tcPr>
          <w:p>
            <w:pPr>
              <w:pStyle w:val="TableContents"/>
              <w:bidi w:val="0"/>
              <w:spacing w:before="0" w:after="0"/>
              <w:ind w:left="0" w:right="0" w:hanging="0"/>
              <w:jc w:val="left"/>
              <w:rPr/>
            </w:pPr>
            <w:r>
              <w:rPr/>
              <w:t>​</w:t>
            </w:r>
          </w:p>
        </w:tc>
        <w:tc>
          <w:tcPr>
            <w:tcW w:w="24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r>
      <w:tr>
        <w:trPr/>
        <w:tc>
          <w:tcPr>
            <w:tcW w:w="35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operating expenses</w:t>
            </w:r>
          </w:p>
        </w:tc>
        <w:tc>
          <w:tcPr>
            <w:tcW w:w="326" w:type="dxa"/>
            <w:tcBorders/>
            <w:vAlign w:val="center"/>
          </w:tcPr>
          <w:p>
            <w:pPr>
              <w:pStyle w:val="TableContents"/>
              <w:bidi w:val="0"/>
              <w:spacing w:before="0" w:after="0"/>
              <w:ind w:left="0" w:right="0" w:hanging="0"/>
              <w:jc w:val="left"/>
              <w:rPr/>
            </w:pPr>
            <w:r>
              <w:rPr/>
              <w:t>​</w:t>
            </w:r>
          </w:p>
        </w:tc>
        <w:tc>
          <w:tcPr>
            <w:tcW w:w="24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3,799</w:t>
            </w:r>
          </w:p>
        </w:tc>
        <w:tc>
          <w:tcPr>
            <w:tcW w:w="374" w:type="dxa"/>
            <w:tcBorders/>
            <w:vAlign w:val="center"/>
          </w:tcPr>
          <w:p>
            <w:pPr>
              <w:pStyle w:val="TableContents"/>
              <w:bidi w:val="0"/>
              <w:spacing w:before="0" w:after="0"/>
              <w:ind w:left="0" w:right="0" w:hanging="0"/>
              <w:jc w:val="left"/>
              <w:rPr/>
            </w:pPr>
            <w:r>
              <w:rPr/>
              <w:t>​</w:t>
            </w:r>
          </w:p>
        </w:tc>
        <w:tc>
          <w:tcPr>
            <w:tcW w:w="24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4,630</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(831)</w:t>
            </w:r>
          </w:p>
        </w:tc>
      </w:tr>
      <w:tr>
        <w:trPr/>
        <w:tc>
          <w:tcPr>
            <w:tcW w:w="35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from operations</w:t>
            </w:r>
          </w:p>
        </w:tc>
        <w:tc>
          <w:tcPr>
            <w:tcW w:w="326"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pPr>
            <w:r>
              <w:rPr/>
              <w:t> </w:t>
            </w:r>
          </w:p>
        </w:tc>
        <w:tc>
          <w:tcPr>
            <w:tcW w:w="7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(3,810)</w:t>
            </w:r>
          </w:p>
        </w:tc>
        <w:tc>
          <w:tcPr>
            <w:tcW w:w="374"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pPr>
            <w:r>
              <w:rPr/>
              <w:t> </w:t>
            </w:r>
          </w:p>
        </w:tc>
        <w:tc>
          <w:tcPr>
            <w:tcW w:w="7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(4,564)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754</w:t>
            </w:r>
          </w:p>
        </w:tc>
      </w:tr>
      <w:tr>
        <w:trPr/>
        <w:tc>
          <w:tcPr>
            <w:tcW w:w="355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Nonoperating income (expense)</w:t>
            </w:r>
          </w:p>
        </w:tc>
        <w:tc>
          <w:tcPr>
            <w:tcW w:w="326"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pPr>
            <w:r>
              <w:rPr/>
              <w:t> </w:t>
            </w:r>
          </w:p>
        </w:tc>
        <w:tc>
          <w:tcPr>
            <w:tcW w:w="793" w:type="dxa"/>
            <w:tcBorders/>
            <w:vAlign w:val="center"/>
          </w:tcPr>
          <w:p>
            <w:pPr>
              <w:pStyle w:val="TableContents"/>
              <w:bidi w:val="0"/>
              <w:spacing w:before="0" w:after="0"/>
              <w:ind w:left="0" w:right="0" w:hanging="0"/>
              <w:jc w:val="right"/>
              <w:rPr/>
            </w:pPr>
            <w:r>
              <w:rPr/>
              <w:t>  </w:t>
            </w:r>
          </w:p>
        </w:tc>
        <w:tc>
          <w:tcPr>
            <w:tcW w:w="374"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pPr>
            <w:r>
              <w:rPr/>
              <w:t> </w:t>
            </w:r>
          </w:p>
        </w:tc>
        <w:tc>
          <w:tcPr>
            <w:tcW w:w="793"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  </w:t>
            </w:r>
          </w:p>
        </w:tc>
      </w:tr>
      <w:tr>
        <w:trPr/>
        <w:tc>
          <w:tcPr>
            <w:tcW w:w="35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income (expense), net</w:t>
            </w:r>
          </w:p>
        </w:tc>
        <w:tc>
          <w:tcPr>
            <w:tcW w:w="326"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pPr>
            <w:r>
              <w:rPr/>
              <w:t>​</w:t>
            </w:r>
          </w:p>
        </w:tc>
        <w:tc>
          <w:tcPr>
            <w:tcW w:w="7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374"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pPr>
            <w:r>
              <w:rPr/>
              <w:t>​</w:t>
            </w:r>
          </w:p>
        </w:tc>
        <w:tc>
          <w:tcPr>
            <w:tcW w:w="79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r>
      <w:tr>
        <w:trPr/>
        <w:tc>
          <w:tcPr>
            <w:tcW w:w="35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fair value of derivative liability</w:t>
            </w:r>
          </w:p>
        </w:tc>
        <w:tc>
          <w:tcPr>
            <w:tcW w:w="326"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pPr>
            <w:r>
              <w:rPr/>
              <w:t> </w:t>
            </w:r>
          </w:p>
        </w:tc>
        <w:tc>
          <w:tcPr>
            <w:tcW w:w="7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1,221</w:t>
            </w:r>
          </w:p>
        </w:tc>
        <w:tc>
          <w:tcPr>
            <w:tcW w:w="374"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pPr>
            <w:r>
              <w:rPr/>
              <w:t> </w:t>
            </w:r>
          </w:p>
        </w:tc>
        <w:tc>
          <w:tcPr>
            <w:tcW w:w="79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1,221</w:t>
            </w:r>
          </w:p>
        </w:tc>
      </w:tr>
      <w:tr>
        <w:trPr/>
        <w:tc>
          <w:tcPr>
            <w:tcW w:w="35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exchange (loss) gain</w:t>
            </w:r>
          </w:p>
        </w:tc>
        <w:tc>
          <w:tcPr>
            <w:tcW w:w="326"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pPr>
            <w:r>
              <w:rPr/>
              <w:t> </w:t>
            </w:r>
          </w:p>
        </w:tc>
        <w:tc>
          <w:tcPr>
            <w:tcW w:w="7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374"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pPr>
            <w:r>
              <w:rPr/>
              <w:t> </w:t>
            </w:r>
          </w:p>
        </w:tc>
        <w:tc>
          <w:tcPr>
            <w:tcW w:w="7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(222)</w:t>
            </w:r>
          </w:p>
        </w:tc>
      </w:tr>
      <w:tr>
        <w:trPr/>
        <w:tc>
          <w:tcPr>
            <w:tcW w:w="35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income (expense), net</w:t>
            </w:r>
          </w:p>
        </w:tc>
        <w:tc>
          <w:tcPr>
            <w:tcW w:w="326" w:type="dxa"/>
            <w:tcBorders/>
            <w:vAlign w:val="center"/>
          </w:tcPr>
          <w:p>
            <w:pPr>
              <w:pStyle w:val="TableContents"/>
              <w:bidi w:val="0"/>
              <w:spacing w:before="0" w:after="0"/>
              <w:ind w:left="0" w:right="0" w:hanging="0"/>
              <w:jc w:val="left"/>
              <w:rPr/>
            </w:pPr>
            <w:r>
              <w:rPr/>
              <w:t>​</w:t>
            </w:r>
          </w:p>
        </w:tc>
        <w:tc>
          <w:tcPr>
            <w:tcW w:w="24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74" w:type="dxa"/>
            <w:tcBorders/>
            <w:vAlign w:val="center"/>
          </w:tcPr>
          <w:p>
            <w:pPr>
              <w:pStyle w:val="TableContents"/>
              <w:bidi w:val="0"/>
              <w:spacing w:before="0" w:after="0"/>
              <w:ind w:left="0" w:right="0" w:hanging="0"/>
              <w:jc w:val="left"/>
              <w:rPr/>
            </w:pPr>
            <w:r>
              <w:rPr/>
              <w:t>​</w:t>
            </w:r>
          </w:p>
        </w:tc>
        <w:tc>
          <w:tcPr>
            <w:tcW w:w="24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35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Nonoperating income (expense), net</w:t>
            </w:r>
          </w:p>
        </w:tc>
        <w:tc>
          <w:tcPr>
            <w:tcW w:w="326" w:type="dxa"/>
            <w:tcBorders/>
            <w:shd w:fill="CCEEFF" w:val="clear"/>
            <w:vAlign w:val="center"/>
          </w:tcPr>
          <w:p>
            <w:pPr>
              <w:pStyle w:val="TableContents"/>
              <w:bidi w:val="0"/>
              <w:spacing w:before="0" w:after="0"/>
              <w:ind w:left="0" w:right="0" w:hanging="0"/>
              <w:jc w:val="left"/>
              <w:rPr/>
            </w:pPr>
            <w:r>
              <w:rPr/>
              <w:t>​</w:t>
            </w:r>
          </w:p>
        </w:tc>
        <w:tc>
          <w:tcPr>
            <w:tcW w:w="24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1,316</w:t>
            </w:r>
          </w:p>
        </w:tc>
        <w:tc>
          <w:tcPr>
            <w:tcW w:w="374" w:type="dxa"/>
            <w:tcBorders/>
            <w:shd w:fill="CCEEFF" w:val="clear"/>
            <w:vAlign w:val="center"/>
          </w:tcPr>
          <w:p>
            <w:pPr>
              <w:pStyle w:val="TableContents"/>
              <w:bidi w:val="0"/>
              <w:spacing w:before="0" w:after="0"/>
              <w:ind w:left="0" w:right="0" w:hanging="0"/>
              <w:jc w:val="left"/>
              <w:rPr/>
            </w:pPr>
            <w:r>
              <w:rPr/>
              <w:t>​</w:t>
            </w:r>
          </w:p>
        </w:tc>
        <w:tc>
          <w:tcPr>
            <w:tcW w:w="24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1,098</w:t>
            </w:r>
          </w:p>
        </w:tc>
      </w:tr>
      <w:tr>
        <w:trPr/>
        <w:tc>
          <w:tcPr>
            <w:tcW w:w="35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before provision for income taxes</w:t>
            </w:r>
          </w:p>
        </w:tc>
        <w:tc>
          <w:tcPr>
            <w:tcW w:w="326"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pPr>
            <w:r>
              <w:rPr/>
              <w:t>​</w:t>
            </w:r>
          </w:p>
        </w:tc>
        <w:tc>
          <w:tcPr>
            <w:tcW w:w="7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(2,494)</w:t>
            </w:r>
          </w:p>
        </w:tc>
        <w:tc>
          <w:tcPr>
            <w:tcW w:w="374"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pPr>
            <w:r>
              <w:rPr/>
              <w:t>​</w:t>
            </w:r>
          </w:p>
        </w:tc>
        <w:tc>
          <w:tcPr>
            <w:tcW w:w="7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(4,346)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1,852</w:t>
            </w:r>
          </w:p>
        </w:tc>
      </w:tr>
      <w:tr>
        <w:trPr/>
        <w:tc>
          <w:tcPr>
            <w:tcW w:w="35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Provision for income taxes</w:t>
            </w:r>
          </w:p>
        </w:tc>
        <w:tc>
          <w:tcPr>
            <w:tcW w:w="326" w:type="dxa"/>
            <w:tcBorders/>
            <w:shd w:fill="CCEEFF" w:val="clear"/>
            <w:vAlign w:val="center"/>
          </w:tcPr>
          <w:p>
            <w:pPr>
              <w:pStyle w:val="TableContents"/>
              <w:bidi w:val="0"/>
              <w:spacing w:before="0" w:after="0"/>
              <w:ind w:left="0" w:right="0" w:hanging="0"/>
              <w:jc w:val="left"/>
              <w:rPr/>
            </w:pPr>
            <w:r>
              <w:rPr/>
              <w:t>​</w:t>
            </w:r>
          </w:p>
        </w:tc>
        <w:tc>
          <w:tcPr>
            <w:tcW w:w="24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74" w:type="dxa"/>
            <w:tcBorders/>
            <w:shd w:fill="CCEEFF" w:val="clear"/>
            <w:vAlign w:val="center"/>
          </w:tcPr>
          <w:p>
            <w:pPr>
              <w:pStyle w:val="TableContents"/>
              <w:bidi w:val="0"/>
              <w:spacing w:before="0" w:after="0"/>
              <w:ind w:left="0" w:right="0" w:hanging="0"/>
              <w:jc w:val="left"/>
              <w:rPr/>
            </w:pPr>
            <w:r>
              <w:rPr/>
              <w:t>​</w:t>
            </w:r>
          </w:p>
        </w:tc>
        <w:tc>
          <w:tcPr>
            <w:tcW w:w="24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35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326" w:type="dxa"/>
            <w:tcBorders/>
            <w:vAlign w:val="center"/>
          </w:tcPr>
          <w:p>
            <w:pPr>
              <w:pStyle w:val="TableContents"/>
              <w:bidi w:val="0"/>
              <w:spacing w:before="0" w:after="0"/>
              <w:ind w:left="0" w:right="0" w:hanging="0"/>
              <w:jc w:val="left"/>
              <w:rPr/>
            </w:pPr>
            <w:r>
              <w:rPr/>
              <w:t>​</w:t>
            </w:r>
          </w:p>
        </w:tc>
        <w:tc>
          <w:tcPr>
            <w:tcW w:w="24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9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(2,494)</w:t>
            </w:r>
          </w:p>
        </w:tc>
        <w:tc>
          <w:tcPr>
            <w:tcW w:w="374" w:type="dxa"/>
            <w:tcBorders/>
            <w:vAlign w:val="center"/>
          </w:tcPr>
          <w:p>
            <w:pPr>
              <w:pStyle w:val="TableContents"/>
              <w:bidi w:val="0"/>
              <w:spacing w:before="0" w:after="0"/>
              <w:ind w:left="0" w:right="0" w:hanging="0"/>
              <w:jc w:val="left"/>
              <w:rPr/>
            </w:pPr>
            <w:r>
              <w:rPr/>
              <w:t>​</w:t>
            </w:r>
          </w:p>
        </w:tc>
        <w:tc>
          <w:tcPr>
            <w:tcW w:w="24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(4,346)</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1,852</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Revenue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The decrease in net product sales for the three months ended March 31, 2023 as compared with the same period in the prior year was primarily attributable to lower Canada product sales, partially offset by net product sales in the United States. Commercial product sales in the United States commenced in April 2022. Canada product sales for the three months ended March 31, 2022 included approximately $120 thousand of revenue recognized in connection with the delivery of the remaining 16 PoNS devices that had been included as noncash consideration in the Company’s acquisition of Heuro Canada, Inc. </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 xml:space="preserve">Cost of Revenue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cost of revenue remained relatively unchanged period over period primarily due to fixed overhead costs, which are primarily comprised of salaries and benefits of employees involved in management of the supply chain.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Selling, General and Administrative Expense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net increase in selling, general and administrative expenses was the result of a $0.4 million net increase in professional fees incurred primarily in connection with certain registration statement filings with the Securities and Exchange Commission, which was largely offset by a $0.3 million decrease in personnel related costs.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Research and Development Expense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The decrease in research and development expenses was driven primarily by a decrease in product development expenses and clinical trial activities as we transitioned our focus from product development and clinical trials to U.S. commercialization activities. </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Amortization Expense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Amortization expense is primarily comprised of the amortization of acquired finite-lived intangible assets. The change in amortization expense period over period is primarily due to certain intangible assets becoming fully amortized.</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Nonoperating income (expense)</w:t>
      </w:r>
    </w:p>
    <w:p>
      <w:pPr>
        <w:pStyle w:val="TextBody"/>
        <w:bidi w:val="0"/>
        <w:spacing w:before="0" w:after="240"/>
        <w:ind w:left="0" w:right="0" w:hanging="0"/>
        <w:jc w:val="left"/>
        <w:rPr>
          <w:rFonts w:ascii="Times New Roman;Times;serif" w:hAnsi="Times New Roman;Times;serif"/>
          <w:b w:val="false"/>
          <w:i/>
          <w:sz w:val="20"/>
        </w:rPr>
      </w:pPr>
      <w:r>
        <w:rPr>
          <w:rFonts w:ascii="Times New Roman;Times;serif" w:hAnsi="Times New Roman;Times;serif"/>
          <w:b w:val="false"/>
          <w:i/>
          <w:sz w:val="20"/>
        </w:rPr>
        <w:t>Interest Income (Expense), Net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Net interest income for the three months ended March 31, 2023 was primarily attributable to interest income earned on investments of excess cash in an unrestricted money market savings account and a certificate of deposit.</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Change in Fair Value of Derivative Liability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As discussed in more detail in Note 6 to our Unaudited Condensed Consolidated Financial Statements, the warrants issued in connection with the public offering completed on August 9, 2022 are being accounted for as a derivative liability instrument. The change in fair value of derivative liability for the three months ended March 31, 2023 of $1.2 million is due to a decrease in our stock price.</w:t>
      </w:r>
    </w:p>
    <w:p>
      <w:pPr>
        <w:pStyle w:val="TextBody"/>
        <w:bidi w:val="0"/>
        <w:spacing w:before="0" w:after="240"/>
        <w:ind w:left="0" w:right="0" w:hanging="0"/>
        <w:jc w:val="left"/>
        <w:rPr>
          <w:rFonts w:ascii="Times New Roman;Times;serif" w:hAnsi="Times New Roman;Times;serif"/>
          <w:b w:val="false"/>
          <w:i/>
          <w:sz w:val="20"/>
        </w:rPr>
      </w:pPr>
      <w:r>
        <w:rPr>
          <w:rFonts w:ascii="Times New Roman;Times;serif" w:hAnsi="Times New Roman;Times;serif"/>
          <w:b w:val="false"/>
          <w:i/>
          <w:sz w:val="20"/>
        </w:rPr>
        <w:t>Foreign Exchange (Loss) Gain</w:t>
      </w:r>
    </w:p>
    <w:p>
      <w:pPr>
        <w:pStyle w:val="TextBody"/>
        <w:bidi w:val="0"/>
        <w:spacing w:before="0" w:after="24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change in foreign exchange (loss) gain was primarily due to fluctuations in the Canadian to U.S. dollar exchange rates.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Liquidity and Capital Resources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table summarizes our cash and cash equivalents and working capital as of December 31, 2022 and 2021 (in thousands):</w:t>
      </w:r>
    </w:p>
    <w:tbl>
      <w:tblPr>
        <w:tblW w:w="4786" w:type="dxa"/>
        <w:jc w:val="left"/>
        <w:tblInd w:w="0" w:type="dxa"/>
        <w:tblLayout w:type="fixed"/>
        <w:tblCellMar>
          <w:top w:w="0" w:type="dxa"/>
          <w:left w:w="0" w:type="dxa"/>
          <w:bottom w:w="0" w:type="dxa"/>
          <w:right w:w="0" w:type="dxa"/>
        </w:tblCellMar>
      </w:tblPr>
      <w:tblGrid>
        <w:gridCol w:w="2266"/>
        <w:gridCol w:w="326"/>
        <w:gridCol w:w="214"/>
        <w:gridCol w:w="686"/>
        <w:gridCol w:w="109"/>
        <w:gridCol w:w="252"/>
        <w:gridCol w:w="933"/>
      </w:tblGrid>
      <w:tr>
        <w:trPr/>
        <w:tc>
          <w:tcPr>
            <w:tcW w:w="2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1438910" cy="175260"/>
                      <wp:effectExtent l="0" t="0" r="0" b="0"/>
                      <wp:wrapNone/>
                      <wp:docPr id="112" name="Frame112"/>
                      <a:graphic xmlns:a="http://schemas.openxmlformats.org/drawingml/2006/main">
                        <a:graphicData uri="http://schemas.microsoft.com/office/word/2010/wordprocessingShape">
                          <wps:wsp>
                            <wps:cNvSpPr txBox="1"/>
                            <wps:spPr>
                              <a:xfrm>
                                <a:off x="0" y="0"/>
                                <a:ext cx="1438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207010" cy="175260"/>
                      <wp:effectExtent l="0" t="0" r="0" b="0"/>
                      <wp:wrapNone/>
                      <wp:docPr id="113" name="Frame11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135890" cy="175260"/>
                      <wp:effectExtent l="0" t="0" r="0" b="0"/>
                      <wp:wrapNone/>
                      <wp:docPr id="114" name="Frame114"/>
                      <a:graphic xmlns:a="http://schemas.openxmlformats.org/drawingml/2006/main">
                        <a:graphicData uri="http://schemas.microsoft.com/office/word/2010/wordprocessingShape">
                          <wps:wsp>
                            <wps:cNvSpPr txBox="1"/>
                            <wps:spPr>
                              <a:xfrm>
                                <a:off x="0" y="0"/>
                                <a:ext cx="1358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435610" cy="175260"/>
                      <wp:effectExtent l="0" t="0" r="0" b="0"/>
                      <wp:wrapNone/>
                      <wp:docPr id="115" name="Frame115"/>
                      <a:graphic xmlns:a="http://schemas.openxmlformats.org/drawingml/2006/main">
                        <a:graphicData uri="http://schemas.microsoft.com/office/word/2010/wordprocessingShape">
                          <wps:wsp>
                            <wps:cNvSpPr txBox="1"/>
                            <wps:spPr>
                              <a:xfrm>
                                <a:off x="0" y="0"/>
                                <a:ext cx="435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9215" cy="175260"/>
                      <wp:effectExtent l="0" t="0" r="0" b="0"/>
                      <wp:wrapNone/>
                      <wp:docPr id="116" name="Frame11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160020" cy="175260"/>
                      <wp:effectExtent l="0" t="0" r="0" b="0"/>
                      <wp:wrapNone/>
                      <wp:docPr id="117" name="Frame117"/>
                      <a:graphic xmlns:a="http://schemas.openxmlformats.org/drawingml/2006/main">
                        <a:graphicData uri="http://schemas.microsoft.com/office/word/2010/wordprocessingShape">
                          <wps:wsp>
                            <wps:cNvSpPr txBox="1"/>
                            <wps:spPr>
                              <a:xfrm>
                                <a:off x="0" y="0"/>
                                <a:ext cx="1600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592455" cy="175260"/>
                      <wp:effectExtent l="0" t="0" r="0" b="0"/>
                      <wp:wrapNone/>
                      <wp:docPr id="118" name="Frame118"/>
                      <a:graphic xmlns:a="http://schemas.openxmlformats.org/drawingml/2006/main">
                        <a:graphicData uri="http://schemas.microsoft.com/office/word/2010/wordprocessingShape">
                          <wps:wsp>
                            <wps:cNvSpPr txBox="1"/>
                            <wps:spPr>
                              <a:xfrm>
                                <a:off x="0" y="0"/>
                                <a:ext cx="5924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2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90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109" w:type="dxa"/>
            <w:tcBorders/>
            <w:vAlign w:val="center"/>
          </w:tcPr>
          <w:p>
            <w:pPr>
              <w:pStyle w:val="TableContents"/>
              <w:bidi w:val="0"/>
              <w:spacing w:before="0" w:after="1"/>
              <w:ind w:left="0" w:right="0" w:hanging="0"/>
              <w:jc w:val="left"/>
              <w:rPr/>
            </w:pPr>
            <w:r>
              <w:rPr/>
              <w:t>​</w:t>
            </w:r>
          </w:p>
        </w:tc>
        <w:tc>
          <w:tcPr>
            <w:tcW w:w="118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22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90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09" w:type="dxa"/>
            <w:tcBorders/>
            <w:vAlign w:val="center"/>
          </w:tcPr>
          <w:p>
            <w:pPr>
              <w:pStyle w:val="TableContents"/>
              <w:bidi w:val="0"/>
              <w:spacing w:before="0" w:after="1"/>
              <w:ind w:left="0" w:right="0" w:hanging="0"/>
              <w:jc w:val="left"/>
              <w:rPr/>
            </w:pPr>
            <w:r>
              <w:rPr/>
              <w:t>​</w:t>
            </w:r>
          </w:p>
        </w:tc>
        <w:tc>
          <w:tcPr>
            <w:tcW w:w="118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22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26"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11,340</w:t>
            </w:r>
          </w:p>
        </w:tc>
        <w:tc>
          <w:tcPr>
            <w:tcW w:w="109" w:type="dxa"/>
            <w:tcBorders/>
            <w:shd w:fill="CCEEFF" w:val="clear"/>
            <w:vAlign w:val="center"/>
          </w:tcPr>
          <w:p>
            <w:pPr>
              <w:pStyle w:val="TableContents"/>
              <w:bidi w:val="0"/>
              <w:spacing w:before="0" w:after="1"/>
              <w:ind w:left="0" w:right="0" w:hanging="0"/>
              <w:jc w:val="left"/>
              <w:rPr/>
            </w:pPr>
            <w:r>
              <w:rPr/>
              <w:t>​</w:t>
            </w:r>
          </w:p>
        </w:tc>
        <w:tc>
          <w:tcPr>
            <w:tcW w:w="25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14,549</w:t>
            </w:r>
          </w:p>
        </w:tc>
      </w:tr>
      <w:tr>
        <w:trPr/>
        <w:tc>
          <w:tcPr>
            <w:tcW w:w="22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Working capital</w:t>
            </w:r>
          </w:p>
        </w:tc>
        <w:tc>
          <w:tcPr>
            <w:tcW w:w="326" w:type="dxa"/>
            <w:tcBorders/>
            <w:vAlign w:val="center"/>
          </w:tcPr>
          <w:p>
            <w:pPr>
              <w:pStyle w:val="TableContents"/>
              <w:bidi w:val="0"/>
              <w:spacing w:before="0" w:after="1"/>
              <w:ind w:left="0" w:right="0" w:hanging="0"/>
              <w:jc w:val="left"/>
              <w:rPr/>
            </w:pPr>
            <w:r>
              <w:rPr/>
              <w:t>​</w:t>
            </w:r>
          </w:p>
        </w:tc>
        <w:tc>
          <w:tcPr>
            <w:tcW w:w="214" w:type="dxa"/>
            <w:tcBorders/>
            <w:vAlign w:val="center"/>
          </w:tcPr>
          <w:p>
            <w:pPr>
              <w:pStyle w:val="TableContents"/>
              <w:bidi w:val="0"/>
              <w:spacing w:before="0" w:after="1"/>
              <w:ind w:left="0" w:right="0" w:hanging="0"/>
              <w:jc w:val="left"/>
              <w:rPr/>
            </w:pPr>
            <w:r>
              <w:rPr/>
              <w:t>​</w:t>
            </w:r>
          </w:p>
        </w:tc>
        <w:tc>
          <w:tcPr>
            <w:tcW w:w="6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11,420</w:t>
            </w:r>
          </w:p>
        </w:tc>
        <w:tc>
          <w:tcPr>
            <w:tcW w:w="109" w:type="dxa"/>
            <w:tcBorders/>
            <w:vAlign w:val="center"/>
          </w:tcPr>
          <w:p>
            <w:pPr>
              <w:pStyle w:val="TableContents"/>
              <w:bidi w:val="0"/>
              <w:spacing w:before="0" w:after="1"/>
              <w:ind w:left="0" w:right="0" w:hanging="0"/>
              <w:jc w:val="left"/>
              <w:rPr/>
            </w:pPr>
            <w:r>
              <w:rPr/>
              <w:t>​</w:t>
            </w:r>
          </w:p>
        </w:tc>
        <w:tc>
          <w:tcPr>
            <w:tcW w:w="252" w:type="dxa"/>
            <w:tcBorders/>
            <w:vAlign w:val="center"/>
          </w:tcPr>
          <w:p>
            <w:pPr>
              <w:pStyle w:val="TableContents"/>
              <w:bidi w:val="0"/>
              <w:spacing w:before="0" w:after="1"/>
              <w:ind w:left="0" w:right="0" w:hanging="0"/>
              <w:jc w:val="left"/>
              <w:rPr/>
            </w:pPr>
            <w:r>
              <w:rPr/>
              <w:t>​</w:t>
            </w:r>
          </w:p>
        </w:tc>
        <w:tc>
          <w:tcPr>
            <w:tcW w:w="933" w:type="dxa"/>
            <w:tcBorders/>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14,709</w:t>
            </w:r>
          </w:p>
        </w:tc>
      </w:tr>
    </w:tbl>
    <w:p>
      <w:pPr>
        <w:pStyle w:val="TextBody"/>
        <w:bidi w:val="0"/>
        <w:spacing w:before="0" w:after="240"/>
        <w:ind w:left="0" w:right="0" w:hanging="0"/>
        <w:jc w:val="both"/>
        <w:rPr/>
      </w:pPr>
      <w:r>
        <w:rPr/>
        <w:t>​</w:t>
      </w:r>
    </w:p>
    <w:p>
      <w:pPr>
        <w:pStyle w:val="TextBody"/>
        <w:bidi w:val="0"/>
        <w:spacing w:before="0" w:after="240"/>
        <w:ind w:left="0" w:right="0" w:hanging="0"/>
        <w:jc w:val="left"/>
        <w:rPr>
          <w:rFonts w:ascii="Times New Roman;Times;serif" w:hAnsi="Times New Roman;Times;serif"/>
          <w:b w:val="false"/>
          <w:sz w:val="20"/>
        </w:rPr>
      </w:pPr>
      <w:r>
        <w:rPr>
          <w:rFonts w:ascii="Times New Roman;Times;serif" w:hAnsi="Times New Roman;Times;serif"/>
          <w:b w:val="false"/>
          <w:sz w:val="20"/>
        </w:rPr>
        <w:t>Our available capital resources have been primarily used to expand our U.S. commercialization efforts, fund manufacturing activities for the PoNS device, conduct clinical trials and for working capital and general corporate purposes. Our primary sources of cash and cash equivalents have been proceeds from public and private offerings of our Class A common stock, which most recently included $16.3 million in net proceeds we received from a public offering of our Class A common stock and warrants completed in August 2022 (“August 2022 Public Offering”) as discussed in more detail in Note 8 to our Consolidated Financial Statements included our 2022 10-K.</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As discussed in more detail in Note 6 to our Unaudited Condensed Consolidated Financial Statements, the outstanding shares of Series B Preferred Stock will vote together with the outstanding shares of the Company’s Class A common stock, as a single class, exclusively with respect to a proposal giving the Board of Directors the authority, as it determines appropriate, to implement a reverse stock split within twelve months following the approval of such proposal by the Company’s stockholders, as well as any proposal to adjourn any meeting of stockholders called for the purpose of voting on the foregoing matters. If these proposals do not receive approval at a meeting of stockholders duly called for the purpose of voting thereon, the Company may be unable to regain compliance with Nasdaq’s minimum bid price requirement within the required period of time, which could lead to our Class A common stock being delisted. If we are unable to maintain the listing of our Class A common stock on Nasdaq, we may face difficulty raising additional capital.</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Statement of Cash Flows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following table summarizes our cash flows for the three months ended March 31, 2023 and 2022 (in thousands):</w:t>
      </w:r>
    </w:p>
    <w:p>
      <w:pPr>
        <w:pStyle w:val="TextBody"/>
        <w:bidi w:val="0"/>
        <w:spacing w:before="0" w:after="240"/>
        <w:ind w:left="0" w:right="0" w:hanging="0"/>
        <w:jc w:val="left"/>
        <w:rPr/>
      </w:pPr>
      <w:r>
        <w:rPr/>
        <w:t>​</w:t>
      </w:r>
    </w:p>
    <w:tbl>
      <w:tblPr>
        <w:tblW w:w="8184" w:type="dxa"/>
        <w:jc w:val="left"/>
        <w:tblInd w:w="0" w:type="dxa"/>
        <w:tblLayout w:type="fixed"/>
        <w:tblCellMar>
          <w:top w:w="0" w:type="dxa"/>
          <w:left w:w="0" w:type="dxa"/>
          <w:bottom w:w="0" w:type="dxa"/>
          <w:right w:w="0" w:type="dxa"/>
        </w:tblCellMar>
      </w:tblPr>
      <w:tblGrid>
        <w:gridCol w:w="4201"/>
        <w:gridCol w:w="326"/>
        <w:gridCol w:w="242"/>
        <w:gridCol w:w="793"/>
        <w:gridCol w:w="374"/>
        <w:gridCol w:w="242"/>
        <w:gridCol w:w="793"/>
        <w:gridCol w:w="326"/>
        <w:gridCol w:w="211"/>
        <w:gridCol w:w="676"/>
      </w:tblGrid>
      <w:tr>
        <w:trPr/>
        <w:tc>
          <w:tcPr>
            <w:tcW w:w="42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2667635" cy="175260"/>
                      <wp:effectExtent l="0" t="0" r="0" b="0"/>
                      <wp:wrapNone/>
                      <wp:docPr id="119" name="Frame119"/>
                      <a:graphic xmlns:a="http://schemas.openxmlformats.org/drawingml/2006/main">
                        <a:graphicData uri="http://schemas.microsoft.com/office/word/2010/wordprocessingShape">
                          <wps:wsp>
                            <wps:cNvSpPr txBox="1"/>
                            <wps:spPr>
                              <a:xfrm>
                                <a:off x="0" y="0"/>
                                <a:ext cx="2667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207010" cy="175260"/>
                      <wp:effectExtent l="0" t="0" r="0" b="0"/>
                      <wp:wrapNone/>
                      <wp:docPr id="120" name="Frame12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153670" cy="175260"/>
                      <wp:effectExtent l="0" t="0" r="0" b="0"/>
                      <wp:wrapNone/>
                      <wp:docPr id="121" name="Frame121"/>
                      <a:graphic xmlns:a="http://schemas.openxmlformats.org/drawingml/2006/main">
                        <a:graphicData uri="http://schemas.microsoft.com/office/word/2010/wordprocessingShape">
                          <wps:wsp>
                            <wps:cNvSpPr txBox="1"/>
                            <wps:spPr>
                              <a:xfrm>
                                <a:off x="0" y="0"/>
                                <a:ext cx="1536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503555" cy="175260"/>
                      <wp:effectExtent l="0" t="0" r="0" b="0"/>
                      <wp:wrapNone/>
                      <wp:docPr id="122" name="Frame122"/>
                      <a:graphic xmlns:a="http://schemas.openxmlformats.org/drawingml/2006/main">
                        <a:graphicData uri="http://schemas.microsoft.com/office/word/2010/wordprocessingShape">
                          <wps:wsp>
                            <wps:cNvSpPr txBox="1"/>
                            <wps:spPr>
                              <a:xfrm>
                                <a:off x="0" y="0"/>
                                <a:ext cx="5035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237490" cy="175260"/>
                      <wp:effectExtent l="0" t="0" r="0" b="0"/>
                      <wp:wrapNone/>
                      <wp:docPr id="123" name="Frame123"/>
                      <a:graphic xmlns:a="http://schemas.openxmlformats.org/drawingml/2006/main">
                        <a:graphicData uri="http://schemas.microsoft.com/office/word/2010/wordprocessingShape">
                          <wps:wsp>
                            <wps:cNvSpPr txBox="1"/>
                            <wps:spPr>
                              <a:xfrm>
                                <a:off x="0" y="0"/>
                                <a:ext cx="2374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153670" cy="175260"/>
                      <wp:effectExtent l="0" t="0" r="0" b="0"/>
                      <wp:wrapNone/>
                      <wp:docPr id="124" name="Frame124"/>
                      <a:graphic xmlns:a="http://schemas.openxmlformats.org/drawingml/2006/main">
                        <a:graphicData uri="http://schemas.microsoft.com/office/word/2010/wordprocessingShape">
                          <wps:wsp>
                            <wps:cNvSpPr txBox="1"/>
                            <wps:spPr>
                              <a:xfrm>
                                <a:off x="0" y="0"/>
                                <a:ext cx="1536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503555" cy="175260"/>
                      <wp:effectExtent l="0" t="0" r="0" b="0"/>
                      <wp:wrapNone/>
                      <wp:docPr id="125" name="Frame125"/>
                      <a:graphic xmlns:a="http://schemas.openxmlformats.org/drawingml/2006/main">
                        <a:graphicData uri="http://schemas.microsoft.com/office/word/2010/wordprocessingShape">
                          <wps:wsp>
                            <wps:cNvSpPr txBox="1"/>
                            <wps:spPr>
                              <a:xfrm>
                                <a:off x="0" y="0"/>
                                <a:ext cx="5035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207010" cy="175260"/>
                      <wp:effectExtent l="0" t="0" r="0" b="0"/>
                      <wp:wrapNone/>
                      <wp:docPr id="126" name="Frame12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133985" cy="175260"/>
                      <wp:effectExtent l="0" t="0" r="0" b="0"/>
                      <wp:wrapNone/>
                      <wp:docPr id="127" name="Frame12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429260" cy="175260"/>
                      <wp:effectExtent l="0" t="0" r="0" b="0"/>
                      <wp:wrapNone/>
                      <wp:docPr id="128" name="Frame128"/>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2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44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March 31,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r>
      <w:tr>
        <w:trPr/>
        <w:tc>
          <w:tcPr>
            <w:tcW w:w="42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03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74" w:type="dxa"/>
            <w:tcBorders/>
            <w:vAlign w:val="center"/>
          </w:tcPr>
          <w:p>
            <w:pPr>
              <w:pStyle w:val="TableContents"/>
              <w:bidi w:val="0"/>
              <w:spacing w:before="0" w:after="0"/>
              <w:ind w:left="0" w:right="0" w:hanging="0"/>
              <w:jc w:val="left"/>
              <w:rPr/>
            </w:pPr>
            <w:r>
              <w:rPr/>
              <w:t>    </w:t>
            </w:r>
          </w:p>
        </w:tc>
        <w:tc>
          <w:tcPr>
            <w:tcW w:w="103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r>
      <w:tr>
        <w:trPr/>
        <w:tc>
          <w:tcPr>
            <w:tcW w:w="42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used in operating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(3,190)</w:t>
            </w:r>
          </w:p>
        </w:tc>
        <w:tc>
          <w:tcPr>
            <w:tcW w:w="374"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(4,682)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1,492</w:t>
            </w:r>
          </w:p>
        </w:tc>
      </w:tr>
      <w:tr>
        <w:trPr/>
        <w:tc>
          <w:tcPr>
            <w:tcW w:w="42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(used in) provided by investing activities</w:t>
            </w:r>
          </w:p>
        </w:tc>
        <w:tc>
          <w:tcPr>
            <w:tcW w:w="326"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pPr>
            <w:r>
              <w:rPr/>
              <w:t> </w:t>
            </w:r>
          </w:p>
        </w:tc>
        <w:tc>
          <w:tcPr>
            <w:tcW w:w="7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w:t>
            </w:r>
          </w:p>
        </w:tc>
        <w:tc>
          <w:tcPr>
            <w:tcW w:w="374"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pPr>
            <w:r>
              <w:rPr/>
              <w:t> </w:t>
            </w:r>
          </w:p>
        </w:tc>
        <w:tc>
          <w:tcPr>
            <w:tcW w:w="7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w:t>
            </w:r>
          </w:p>
        </w:tc>
      </w:tr>
      <w:tr>
        <w:trPr/>
        <w:tc>
          <w:tcPr>
            <w:tcW w:w="42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used in financing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pPr>
            <w:r>
              <w:rPr/>
              <w:t> </w:t>
            </w:r>
          </w:p>
        </w:tc>
        <w:tc>
          <w:tcPr>
            <w:tcW w:w="793" w:type="dxa"/>
            <w:tcBorders/>
            <w:shd w:fill="CCEEFF" w:val="clear"/>
            <w:vAlign w:val="center"/>
          </w:tcPr>
          <w:p>
            <w:pPr>
              <w:pStyle w:val="TableContents"/>
              <w:bidi w:val="0"/>
              <w:spacing w:before="0" w:after="0"/>
              <w:ind w:left="0" w:right="0" w:hanging="0"/>
              <w:jc w:val="right"/>
              <w:rPr/>
            </w:pPr>
            <w:r>
              <w:rPr/>
              <w:t>—</w:t>
            </w:r>
          </w:p>
        </w:tc>
        <w:tc>
          <w:tcPr>
            <w:tcW w:w="374"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pPr>
            <w:r>
              <w:rPr/>
              <w:t> </w:t>
            </w:r>
          </w:p>
        </w:tc>
        <w:tc>
          <w:tcPr>
            <w:tcW w:w="7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r>
      <w:tr>
        <w:trPr/>
        <w:tc>
          <w:tcPr>
            <w:tcW w:w="42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Effect of foreign exchange rate changes on cash</w:t>
            </w:r>
          </w:p>
        </w:tc>
        <w:tc>
          <w:tcPr>
            <w:tcW w:w="326" w:type="dxa"/>
            <w:tcBorders/>
            <w:vAlign w:val="center"/>
          </w:tcPr>
          <w:p>
            <w:pPr>
              <w:pStyle w:val="TableContents"/>
              <w:bidi w:val="0"/>
              <w:spacing w:before="0" w:after="0"/>
              <w:ind w:left="0" w:right="0" w:hanging="0"/>
              <w:jc w:val="left"/>
              <w:rPr/>
            </w:pPr>
            <w:r>
              <w:rPr/>
              <w:t>​</w:t>
            </w:r>
          </w:p>
        </w:tc>
        <w:tc>
          <w:tcPr>
            <w:tcW w:w="24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74" w:type="dxa"/>
            <w:tcBorders/>
            <w:vAlign w:val="center"/>
          </w:tcPr>
          <w:p>
            <w:pPr>
              <w:pStyle w:val="TableContents"/>
              <w:bidi w:val="0"/>
              <w:spacing w:before="0" w:after="0"/>
              <w:ind w:left="0" w:right="0" w:hanging="0"/>
              <w:jc w:val="left"/>
              <w:rPr/>
            </w:pPr>
            <w:r>
              <w:rPr/>
              <w:t>​</w:t>
            </w:r>
          </w:p>
        </w:tc>
        <w:tc>
          <w:tcPr>
            <w:tcW w:w="24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42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Net increase in cash and cash equivalents </w:t>
            </w:r>
          </w:p>
        </w:tc>
        <w:tc>
          <w:tcPr>
            <w:tcW w:w="326" w:type="dxa"/>
            <w:tcBorders/>
            <w:shd w:fill="CCEEFF" w:val="clear"/>
            <w:vAlign w:val="center"/>
          </w:tcPr>
          <w:p>
            <w:pPr>
              <w:pStyle w:val="TableContents"/>
              <w:bidi w:val="0"/>
              <w:spacing w:before="0" w:after="0"/>
              <w:ind w:left="0" w:right="0" w:hanging="0"/>
              <w:jc w:val="left"/>
              <w:rPr/>
            </w:pPr>
            <w:r>
              <w:rPr/>
              <w:t>​</w:t>
            </w:r>
          </w:p>
        </w:tc>
        <w:tc>
          <w:tcPr>
            <w:tcW w:w="24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(3,209)</w:t>
            </w:r>
          </w:p>
        </w:tc>
        <w:tc>
          <w:tcPr>
            <w:tcW w:w="374" w:type="dxa"/>
            <w:tcBorders/>
            <w:shd w:fill="CCEEFF" w:val="clear"/>
            <w:vAlign w:val="center"/>
          </w:tcPr>
          <w:p>
            <w:pPr>
              <w:pStyle w:val="TableContents"/>
              <w:bidi w:val="0"/>
              <w:spacing w:before="0" w:after="0"/>
              <w:ind w:left="0" w:right="0" w:hanging="0"/>
              <w:jc w:val="left"/>
              <w:rPr/>
            </w:pPr>
            <w:r>
              <w:rPr/>
              <w:t>​</w:t>
            </w:r>
          </w:p>
        </w:tc>
        <w:tc>
          <w:tcPr>
            <w:tcW w:w="24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(4,695)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1,486</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Net Cash Used in Operating Activities</w:t>
      </w:r>
    </w:p>
    <w:p>
      <w:pPr>
        <w:pStyle w:val="TextBody"/>
        <w:bidi w:val="0"/>
        <w:spacing w:before="0" w:after="24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lower level of cash used in operating activities in the three months ended March 31, 2023 primarily resulted from the decrease in net loss for the three months ended March 31, 2023 as compared with the same period in the prior year.</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Net Cash Used in Investing Activities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Our investing activities are primarily related to the purchases of property and equipment.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Net Cash Provided by Financing Activities</w:t>
      </w:r>
    </w:p>
    <w:p>
      <w:pPr>
        <w:pStyle w:val="TextBody"/>
        <w:bidi w:val="0"/>
        <w:spacing w:before="0" w:after="24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 xml:space="preserve">We did not complete any public or private offerings of our Class A common stock during the three months ended March 31, 2023 and 2022. During the three months ended March 31, 2022, we paid $17 thousand of accrued share issuance costs related to a public offering of Class A common stock completed in November 2021. </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Cash Requirements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Our ability to generate product revenues sufficient to achieve profitability will depend heavily on the successful commercialization of PoNS Therapy in the U.S. Our net loss was $2.5 million and $4.3 million for the three months ended March 31, 2023 and 2022, respectively. As of March 31, 2023, we had an accumulated deficit of $153.6 million. We expect to continue to incur significant expenses and operating losses for the foreseeable future. These and other factors indicate substantial doubt about our ability to continue as a going concern. Refer to Note 1 to our Unaudited Condensed Consolidated Financial Statements for additional discussion about our going concern uncertainty.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intend to use our available capital resources primarily to expand our U.S. commercialization efforts, fund manufacturing activities for the PoNS device, conduct clinical trials and for working capital and general corporate purposes. We believe that our existing capital resources will be sufficient to fund our operations through 2023, but we will be required to seek additional funding through the sale of equity or debt financing to continue to fund our operations thereafter. We will need additional funding for our planned clinical trial for stroke. The amount required to fund operations thereafter will depend on various factors, including timing of approval of clinical trials, duration and result of clinical trials and other factors that affect the cost of the clinical trial, manufacturing costs of product, development of our product for new indications and demand for our authorized products in the market.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There can be no assurance that we will be successful in raising additional capital or that such capital, if available, will be on terms that are acceptable to us. If we are unable to raise sufficient additional capital, we may be compelled to reduce the scope of our operations and planned capital expenditure or sell certain assets, including intellectual property, and we may be forced to cease or wind down operations, seek protection under the provisions of the U.S. Bankruptcy Code, or liquidate and dissolve our company.</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Critical Accounting Policies and Estimates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Our discussion and analysis of our financial condition and results of operations are based upon our Unaudited Condensed Consolidated Financial Statements that have been prepared in accordance with U.S. GAAP. This preparation requires management to make estimates and assumptions that affect the reported amounts of assets, liabilities, revenues and expenses and the disclosure of contingent assets and liabilities.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Our critical accounting policies and estimates are described in Item 7 “Management’s Discussion and Analysis of Financial Condition and Results of Operations — Critical Accounting Policies and Estimates” of our 2022 10-K. There have been no changes in critical accounting policies in the current year from those described in our 2022 10-K.</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Recently Issued Accounting Pronouncements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information set forth in Note 2 to our Unaudited Condensed Consolidated Financial Statements under Part I, Item 1, “Condensed Consolidated Financial Statements” is incorporated herein by reference.</w:t>
      </w:r>
    </w:p>
    <w:p>
      <w:pPr>
        <w:pStyle w:val="TextBody"/>
        <w:bidi w:val="0"/>
        <w:spacing w:before="0" w:after="240"/>
        <w:ind w:left="0" w:right="0" w:hanging="0"/>
        <w:jc w:val="left"/>
        <w:rPr>
          <w:rFonts w:ascii="Times New Roman;Times;serif" w:hAnsi="Times New Roman;Times;serif"/>
          <w:b/>
          <w:sz w:val="20"/>
        </w:rPr>
      </w:pPr>
      <w:bookmarkStart w:id="663" w:name="ITEM3QuantitativeandQualitativeDisclosur"/>
      <w:bookmarkStart w:id="664" w:name="_802b5240_d772_4adc_ac33_99222979de0b"/>
      <w:bookmarkEnd w:id="663"/>
      <w:bookmarkEnd w:id="664"/>
      <w:r>
        <w:rPr>
          <w:rFonts w:ascii="Times New Roman;Times;serif" w:hAnsi="Times New Roman;Times;serif"/>
          <w:b/>
          <w:sz w:val="20"/>
        </w:rPr>
        <w:t>ITEM 3.    Quantitative and Qualitative Disclosures about Market Risk</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left"/>
        <w:rPr>
          <w:rFonts w:ascii="Times New Roman;Times;serif" w:hAnsi="Times New Roman;Times;serif"/>
          <w:b/>
          <w:sz w:val="20"/>
        </w:rPr>
      </w:pPr>
      <w:bookmarkStart w:id="665" w:name="ITEM4ControlsandProcedures_561590"/>
      <w:bookmarkStart w:id="666" w:name="_d8a795f0_4f69_4d4a_bf33_9c3f590a9ea7"/>
      <w:bookmarkEnd w:id="665"/>
      <w:bookmarkEnd w:id="666"/>
      <w:r>
        <w:rPr>
          <w:rFonts w:ascii="Times New Roman;Times;serif" w:hAnsi="Times New Roman;Times;serif"/>
          <w:b/>
          <w:sz w:val="20"/>
        </w:rPr>
        <w:t>ITEM 4.    Controls and Procedures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Evaluation of Disclosure Controls and Procedures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As required by Rule 13a-15(b) of the Securities Exchange Act of 1934, as amended, or the Exchange Act, under the direction of our Chief Executive Officer and our Chief Financial Officer, we have evaluated our disclosure controls and procedures as of the end of the period covered by this Quarterly Report on Form 10-Q. Based on this evaluation, our Chief Executive Officer and our Chief Financial Officer have concluded that our disclosure controls and procedures were effective as of the end of the period covered by this report. Our management has concluded that the financial statements included elsewhere in this Quarterly Report on Form 10-Q present fairly, in all material respects, our financial position, results of operations and cash flows in conformity with generally accepted accounting principles.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Changes in Internal Control over Financial Reporting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There has not been any change in our internal control over financial reporting (as such term is defined in Rule 13a-15(f) and 15d-15(f) under the Exchange Act) during the period covered by this Quarterly Report on Form 10-Q that has materially affected, or is reasonably likely to materially affect our internal control over financial reporting.</w:t>
      </w:r>
    </w:p>
    <w:p>
      <w:pPr>
        <w:pStyle w:val="TextBody"/>
        <w:bidi w:val="0"/>
        <w:spacing w:before="0" w:after="240"/>
        <w:ind w:left="0" w:right="0" w:hanging="0"/>
        <w:jc w:val="left"/>
        <w:rPr>
          <w:rFonts w:ascii="Times New Roman;Times;serif" w:hAnsi="Times New Roman;Times;serif"/>
          <w:b/>
          <w:sz w:val="20"/>
        </w:rPr>
      </w:pPr>
      <w:bookmarkStart w:id="667" w:name="PARTIIOTHERINFORMATION_747688"/>
      <w:bookmarkStart w:id="668" w:name="_884fecdb_ce5c_4323_9698_96b06e8b50a3"/>
      <w:bookmarkEnd w:id="667"/>
      <w:bookmarkEnd w:id="668"/>
      <w:r>
        <w:rPr>
          <w:rFonts w:ascii="Times New Roman;Times;serif" w:hAnsi="Times New Roman;Times;serif"/>
          <w:b/>
          <w:sz w:val="20"/>
        </w:rPr>
        <w:t>PART II – OTHER INFORMATION</w:t>
      </w:r>
    </w:p>
    <w:p>
      <w:pPr>
        <w:pStyle w:val="TextBody"/>
        <w:bidi w:val="0"/>
        <w:spacing w:before="0" w:after="240"/>
        <w:ind w:left="0" w:right="0" w:hanging="0"/>
        <w:jc w:val="left"/>
        <w:rPr>
          <w:rFonts w:ascii="Times New Roman;Times;serif" w:hAnsi="Times New Roman;Times;serif"/>
          <w:b/>
          <w:sz w:val="20"/>
        </w:rPr>
      </w:pPr>
      <w:bookmarkStart w:id="669" w:name="Item1LegalProceedings_648425"/>
      <w:bookmarkEnd w:id="669"/>
      <w:r>
        <w:rPr>
          <w:rFonts w:ascii="Times New Roman;Times;serif" w:hAnsi="Times New Roman;Times;serif"/>
          <w:b/>
          <w:sz w:val="20"/>
        </w:rPr>
        <w:t>Item 1.    Legal Proceedings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From time to time, we are subject to litigation and claims arising in the ordinary course of business. We are not currently a party to any material legal proceedings, and we are not aware of any pending or threatened legal proceeding against us that we believe could have a material adverse effect on our business, operating results or financial condition.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670" w:name="Item1ARiskFactors_328583"/>
      <w:bookmarkEnd w:id="670"/>
      <w:r>
        <w:rPr>
          <w:rFonts w:ascii="Times New Roman;Times;serif" w:hAnsi="Times New Roman;Times;serif"/>
          <w:b/>
          <w:sz w:val="20"/>
        </w:rPr>
        <w:t>Item 1A. Risk Factors</w:t>
      </w:r>
    </w:p>
    <w:p>
      <w:pPr>
        <w:pStyle w:val="TextBody"/>
        <w:bidi w:val="0"/>
        <w:spacing w:before="0" w:after="0"/>
        <w:ind w:left="0" w:right="0" w:hanging="0"/>
        <w:jc w:val="left"/>
        <w:rPr>
          <w:rFonts w:ascii="Times New Roman;Times;serif" w:hAnsi="Times New Roman;Times;serif"/>
          <w:sz w:val="20"/>
        </w:rPr>
      </w:pPr>
      <w:bookmarkStart w:id="671" w:name="_6402de3b_57eb_41fc_a5e1_409e135615b9"/>
      <w:bookmarkEnd w:id="671"/>
      <w:r>
        <w:rPr>
          <w:rFonts w:ascii="Times New Roman;Times;serif" w:hAnsi="Times New Roman;Times;serif"/>
          <w:sz w:val="20"/>
        </w:rPr>
        <w:t>Our business is subject to risks and events that, if they occur, could adversely affect our financial condition and results of operations and the trading price of our securities. During the three months ended March 31, 2023, our risk factors have not changed materially from those risk factors previously disclosed in our 2022 10-K. You should carefully consider the risk factors discussed in Part I, “Item 1A. Risk Factors” in our 2022 10-K. The risks described in our 2022 10-K are not the only risks facing us. Additional risks and uncertainties not currently known to us or that we currently deem to be immaterial also may materially and adversely affect our business, financial condition and/or operating results.</w:t>
      </w:r>
      <w:r>
        <w:rPr>
          <w:rFonts w:ascii="Times New Roman;Times;serif" w:hAnsi="Times New Roman;Times;serif"/>
          <w:color w:val="808080"/>
          <w:sz w:val="20"/>
        </w:rPr>
        <w:t>Click or tap here to enter text.</w:t>
      </w:r>
    </w:p>
    <w:p>
      <w:pPr>
        <w:pStyle w:val="TextBody"/>
        <w:bidi w:val="0"/>
        <w:spacing w:before="0" w:after="240"/>
        <w:ind w:left="0" w:right="0" w:hanging="0"/>
        <w:jc w:val="left"/>
        <w:rPr>
          <w:rFonts w:ascii="Times New Roman;Times;serif" w:hAnsi="Times New Roman;Times;serif"/>
          <w:b/>
          <w:sz w:val="20"/>
        </w:rPr>
      </w:pPr>
      <w:bookmarkStart w:id="672" w:name="Item2UnregisteredSalesofEquitySecurities"/>
      <w:bookmarkStart w:id="673" w:name="_6a78750b_aecc_457d_a29f_7bab4febdb2b"/>
      <w:bookmarkEnd w:id="672"/>
      <w:bookmarkEnd w:id="673"/>
      <w:r>
        <w:rPr>
          <w:rFonts w:ascii="Times New Roman;Times;serif" w:hAnsi="Times New Roman;Times;serif"/>
          <w:b/>
          <w:sz w:val="20"/>
        </w:rPr>
        <w:t>Item 2.    Unregistered Sales of Equity Securities and Use of Proceeds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0" w:after="240"/>
        <w:ind w:left="0" w:right="0" w:hanging="0"/>
        <w:jc w:val="left"/>
        <w:rPr>
          <w:rFonts w:ascii="Times New Roman;Times;serif" w:hAnsi="Times New Roman;Times;serif"/>
          <w:b/>
          <w:sz w:val="20"/>
        </w:rPr>
      </w:pPr>
      <w:bookmarkStart w:id="674" w:name="Item3DefaultsuponSeniorSecurities_357636"/>
      <w:bookmarkStart w:id="675" w:name="_2b1e69c4_dc4e_4657_ab76_3076c80b4008"/>
      <w:bookmarkEnd w:id="674"/>
      <w:bookmarkEnd w:id="675"/>
      <w:r>
        <w:rPr>
          <w:rFonts w:ascii="Times New Roman;Times;serif" w:hAnsi="Times New Roman;Times;serif"/>
          <w:b/>
          <w:sz w:val="20"/>
        </w:rPr>
        <w:t>Item 3.    Defaults upon Senior Securities</w:t>
      </w:r>
    </w:p>
    <w:p>
      <w:pPr>
        <w:pStyle w:val="TextBody"/>
        <w:bidi w:val="0"/>
        <w:spacing w:before="0" w:after="240"/>
        <w:ind w:left="0" w:right="0" w:hanging="0"/>
        <w:jc w:val="left"/>
        <w:rPr>
          <w:rFonts w:ascii="Times New Roman;Times;serif" w:hAnsi="Times New Roman;Times;serif"/>
          <w:b w:val="false"/>
          <w:sz w:val="20"/>
        </w:rPr>
      </w:pPr>
      <w:r>
        <w:rPr>
          <w:rFonts w:ascii="Times New Roman;Times;serif" w:hAnsi="Times New Roman;Times;serif"/>
          <w:b w:val="false"/>
          <w:sz w:val="20"/>
        </w:rPr>
        <w:t>Not applicable.</w:t>
      </w:r>
    </w:p>
    <w:p>
      <w:pPr>
        <w:pStyle w:val="TextBody"/>
        <w:bidi w:val="0"/>
        <w:spacing w:before="0" w:after="240"/>
        <w:ind w:left="0" w:right="0" w:hanging="0"/>
        <w:jc w:val="left"/>
        <w:rPr>
          <w:rFonts w:ascii="Times New Roman;Times;serif" w:hAnsi="Times New Roman;Times;serif"/>
          <w:b/>
          <w:sz w:val="20"/>
        </w:rPr>
      </w:pPr>
      <w:bookmarkStart w:id="676" w:name="Item4MineSafetyDisclosures_501310"/>
      <w:bookmarkStart w:id="677" w:name="_b24c6bc3_f899_405d_91d2_7b0b989a9963"/>
      <w:bookmarkEnd w:id="676"/>
      <w:bookmarkEnd w:id="677"/>
      <w:r>
        <w:rPr>
          <w:rFonts w:ascii="Times New Roman;Times;serif" w:hAnsi="Times New Roman;Times;serif"/>
          <w:b/>
          <w:sz w:val="20"/>
        </w:rPr>
        <w:t>Item 4.    Mine Safety Disclosures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left"/>
        <w:rPr>
          <w:rFonts w:ascii="Times New Roman;Times;serif" w:hAnsi="Times New Roman;Times;serif"/>
          <w:b/>
          <w:sz w:val="20"/>
        </w:rPr>
      </w:pPr>
      <w:bookmarkStart w:id="678" w:name="Item5OtherInformation_487176"/>
      <w:bookmarkStart w:id="679" w:name="_0f7fbf27_7d57_471f_819f_bae19b523ee7"/>
      <w:bookmarkEnd w:id="678"/>
      <w:bookmarkEnd w:id="679"/>
      <w:r>
        <w:rPr>
          <w:rFonts w:ascii="Times New Roman;Times;serif" w:hAnsi="Times New Roman;Times;serif"/>
          <w:b/>
          <w:sz w:val="20"/>
        </w:rPr>
        <w:t>Item 5.    Other Information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None.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680" w:name="Item6Exhibits_175156"/>
      <w:bookmarkStart w:id="681" w:name="_f1e2c1e2_85fc_4100_a966_b584428a9e56"/>
      <w:bookmarkEnd w:id="680"/>
      <w:bookmarkEnd w:id="681"/>
      <w:r>
        <w:rPr>
          <w:rFonts w:ascii="Times New Roman;Times;serif" w:hAnsi="Times New Roman;Times;serif"/>
          <w:b/>
          <w:sz w:val="20"/>
        </w:rPr>
        <w:t>Item 6.    Exhibits</w:t>
      </w:r>
    </w:p>
    <w:tbl>
      <w:tblPr>
        <w:tblW w:w="10205" w:type="dxa"/>
        <w:jc w:val="left"/>
        <w:tblInd w:w="0" w:type="dxa"/>
        <w:tblLayout w:type="fixed"/>
        <w:tblCellMar>
          <w:top w:w="0" w:type="dxa"/>
          <w:left w:w="0" w:type="dxa"/>
          <w:bottom w:w="0" w:type="dxa"/>
          <w:right w:w="0" w:type="dxa"/>
        </w:tblCellMar>
      </w:tblPr>
      <w:tblGrid>
        <w:gridCol w:w="781"/>
        <w:gridCol w:w="326"/>
        <w:gridCol w:w="9098"/>
      </w:tblGrid>
      <w:tr>
        <w:trPr/>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495935" cy="175260"/>
                      <wp:effectExtent l="0" t="0" r="0" b="0"/>
                      <wp:wrapNone/>
                      <wp:docPr id="129" name="Frame129"/>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0"/>
              <w:ind w:left="0" w:right="0" w:hanging="0"/>
              <w:jc w:val="left"/>
              <w:rPr/>
            </w:pPr>
            <w:r>
              <w:rPr/>
              <w:t>​</w:t>
            </w:r>
          </w:p>
        </w:tc>
        <w:tc>
          <w:tcPr>
            <w:tcW w:w="90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5777230" cy="175260"/>
                      <wp:effectExtent l="0" t="0" r="0" b="0"/>
                      <wp:wrapNone/>
                      <wp:docPr id="130" name="Frame130"/>
                      <a:graphic xmlns:a="http://schemas.openxmlformats.org/drawingml/2006/main">
                        <a:graphicData uri="http://schemas.microsoft.com/office/word/2010/wordprocessingShape">
                          <wps:wsp>
                            <wps:cNvSpPr txBox="1"/>
                            <wps:spPr>
                              <a:xfrm>
                                <a:off x="0" y="0"/>
                                <a:ext cx="57772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8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Exhibit No.</w:t>
            </w:r>
          </w:p>
        </w:tc>
        <w:tc>
          <w:tcPr>
            <w:tcW w:w="326" w:type="dxa"/>
            <w:tcBorders/>
            <w:vAlign w:val="center"/>
          </w:tcPr>
          <w:p>
            <w:pPr>
              <w:pStyle w:val="TableContents"/>
              <w:bidi w:val="0"/>
              <w:spacing w:before="0" w:after="0"/>
              <w:ind w:left="0" w:right="0" w:hanging="0"/>
              <w:jc w:val="left"/>
              <w:rPr/>
            </w:pPr>
            <w:r>
              <w:rPr/>
              <w:t>    </w:t>
            </w:r>
          </w:p>
        </w:tc>
        <w:tc>
          <w:tcPr>
            <w:tcW w:w="9098"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Description of Exhibit</w:t>
            </w:r>
          </w:p>
        </w:tc>
      </w:tr>
      <w:tr>
        <w:trPr/>
        <w:tc>
          <w:tcPr>
            <w:tcW w:w="78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w:t>
            </w:r>
          </w:p>
        </w:tc>
        <w:tc>
          <w:tcPr>
            <w:tcW w:w="326" w:type="dxa"/>
            <w:tcBorders/>
            <w:vAlign w:val="center"/>
          </w:tcPr>
          <w:p>
            <w:pPr>
              <w:pStyle w:val="TableContents"/>
              <w:bidi w:val="0"/>
              <w:spacing w:before="0" w:after="0"/>
              <w:ind w:left="0" w:right="0" w:hanging="0"/>
              <w:jc w:val="left"/>
              <w:rPr/>
            </w:pPr>
            <w:r>
              <w:rPr/>
              <w:t>​</w:t>
            </w:r>
          </w:p>
        </w:tc>
        <w:tc>
          <w:tcPr>
            <w:tcW w:w="9098" w:type="dxa"/>
            <w:tcBorders>
              <w:top w:val="single" w:sz="2" w:space="0" w:color="000000"/>
            </w:tcBorders>
            <w:tcMar>
              <w:top w:w="28" w:type="dxa"/>
            </w:tcMar>
            <w:vAlign w:val="center"/>
          </w:tcPr>
          <w:p>
            <w:pPr>
              <w:pStyle w:val="TableContents"/>
              <w:bidi w:val="0"/>
              <w:spacing w:before="0" w:after="0"/>
              <w:ind w:left="0" w:right="0" w:hanging="0"/>
              <w:jc w:val="left"/>
              <w:rPr/>
            </w:pPr>
            <w:hyperlink r:id="rId2">
              <w:r>
                <w:rPr>
                  <w:rStyle w:val="InternetLink"/>
                  <w:rFonts w:ascii="Times New Roman;Times;serif" w:hAnsi="Times New Roman;Times;serif"/>
                  <w:b w:val="false"/>
                  <w:i w:val="false"/>
                  <w:caps w:val="false"/>
                  <w:smallCaps w:val="false"/>
                  <w:sz w:val="20"/>
                </w:rPr>
                <w:t>Certificate of Conversion filed with the Delaware Secretary of State on July 18, 2018 (incorporated by reference to Exhibit 3.1 to the Form 10-Q filed August 9, 2018)</w:t>
              </w:r>
            </w:hyperlink>
          </w:p>
        </w:tc>
      </w:tr>
      <w:tr>
        <w:trPr/>
        <w:tc>
          <w:tcPr>
            <w:tcW w:w="7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3.2</w:t>
            </w:r>
          </w:p>
        </w:tc>
        <w:tc>
          <w:tcPr>
            <w:tcW w:w="326" w:type="dxa"/>
            <w:tcBorders/>
            <w:vAlign w:val="center"/>
          </w:tcPr>
          <w:p>
            <w:pPr>
              <w:pStyle w:val="TableContents"/>
              <w:bidi w:val="0"/>
              <w:spacing w:before="0" w:after="0"/>
              <w:ind w:left="0" w:right="0" w:hanging="0"/>
              <w:jc w:val="left"/>
              <w:rPr/>
            </w:pPr>
            <w:r>
              <w:rPr/>
              <w:t>​</w:t>
            </w:r>
          </w:p>
        </w:tc>
        <w:tc>
          <w:tcPr>
            <w:tcW w:w="9098" w:type="dxa"/>
            <w:tcBorders/>
            <w:vAlign w:val="center"/>
          </w:tcPr>
          <w:p>
            <w:pPr>
              <w:pStyle w:val="TableContents"/>
              <w:bidi w:val="0"/>
              <w:spacing w:before="0" w:after="0"/>
              <w:ind w:left="0" w:right="0" w:hanging="0"/>
              <w:jc w:val="left"/>
              <w:rPr/>
            </w:pPr>
            <w:hyperlink r:id="rId3">
              <w:r>
                <w:rPr>
                  <w:rStyle w:val="InternetLink"/>
                  <w:rFonts w:ascii="Times New Roman;Times;serif" w:hAnsi="Times New Roman;Times;serif"/>
                  <w:b w:val="false"/>
                  <w:i w:val="false"/>
                  <w:caps w:val="false"/>
                  <w:smallCaps w:val="false"/>
                  <w:sz w:val="20"/>
                </w:rPr>
                <w:t>Certificate of Incorporation, as corrected (incorporated by reference to Exhibit 3.1 to the Form 8-K filed October 30, 2018)</w:t>
              </w:r>
            </w:hyperlink>
          </w:p>
        </w:tc>
      </w:tr>
      <w:tr>
        <w:trPr/>
        <w:tc>
          <w:tcPr>
            <w:tcW w:w="7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3.3</w:t>
            </w:r>
          </w:p>
        </w:tc>
        <w:tc>
          <w:tcPr>
            <w:tcW w:w="326" w:type="dxa"/>
            <w:tcBorders/>
            <w:vAlign w:val="center"/>
          </w:tcPr>
          <w:p>
            <w:pPr>
              <w:pStyle w:val="TableContents"/>
              <w:bidi w:val="0"/>
              <w:spacing w:before="0" w:after="0"/>
              <w:ind w:left="0" w:right="0" w:hanging="0"/>
              <w:jc w:val="left"/>
              <w:rPr/>
            </w:pPr>
            <w:r>
              <w:rPr/>
              <w:t>​</w:t>
            </w:r>
          </w:p>
        </w:tc>
        <w:tc>
          <w:tcPr>
            <w:tcW w:w="9098" w:type="dxa"/>
            <w:tcBorders/>
            <w:vAlign w:val="center"/>
          </w:tcPr>
          <w:p>
            <w:pPr>
              <w:pStyle w:val="TableContents"/>
              <w:bidi w:val="0"/>
              <w:spacing w:before="0" w:after="0"/>
              <w:ind w:left="0" w:right="0" w:hanging="0"/>
              <w:jc w:val="left"/>
              <w:rPr/>
            </w:pPr>
            <w:hyperlink r:id="rId4">
              <w:r>
                <w:rPr>
                  <w:rStyle w:val="InternetLink"/>
                  <w:rFonts w:ascii="Times New Roman;Times;serif" w:hAnsi="Times New Roman;Times;serif"/>
                  <w:b w:val="false"/>
                  <w:i w:val="false"/>
                  <w:caps w:val="false"/>
                  <w:smallCaps w:val="false"/>
                  <w:sz w:val="20"/>
                </w:rPr>
                <w:t>Certificate of Amendment to Certificate of Incorporation (incorporated by reference to Exhibit 3.1 to the Form 8-K filed on December 31, 2020)</w:t>
              </w:r>
            </w:hyperlink>
          </w:p>
        </w:tc>
      </w:tr>
      <w:tr>
        <w:trPr/>
        <w:tc>
          <w:tcPr>
            <w:tcW w:w="7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3.4</w:t>
            </w:r>
          </w:p>
        </w:tc>
        <w:tc>
          <w:tcPr>
            <w:tcW w:w="326" w:type="dxa"/>
            <w:tcBorders/>
            <w:vAlign w:val="center"/>
          </w:tcPr>
          <w:p>
            <w:pPr>
              <w:pStyle w:val="TableContents"/>
              <w:bidi w:val="0"/>
              <w:spacing w:before="0" w:after="0"/>
              <w:ind w:left="0" w:right="0" w:hanging="0"/>
              <w:jc w:val="left"/>
              <w:rPr/>
            </w:pPr>
            <w:r>
              <w:rPr/>
              <w:t>​</w:t>
            </w:r>
          </w:p>
        </w:tc>
        <w:tc>
          <w:tcPr>
            <w:tcW w:w="9098" w:type="dxa"/>
            <w:tcBorders/>
            <w:vAlign w:val="center"/>
          </w:tcPr>
          <w:p>
            <w:pPr>
              <w:pStyle w:val="TableContents"/>
              <w:bidi w:val="0"/>
              <w:spacing w:before="0" w:after="0"/>
              <w:ind w:left="0" w:right="0" w:hanging="0"/>
              <w:jc w:val="left"/>
              <w:rPr/>
            </w:pPr>
            <w:hyperlink r:id="rId5">
              <w:r>
                <w:rPr>
                  <w:rStyle w:val="InternetLink"/>
                  <w:rFonts w:ascii="Times New Roman;Times;serif" w:hAnsi="Times New Roman;Times;serif"/>
                  <w:b w:val="false"/>
                  <w:i w:val="false"/>
                  <w:caps w:val="false"/>
                  <w:smallCaps w:val="false"/>
                  <w:sz w:val="20"/>
                </w:rPr>
                <w:t>Certificate of Designation of the Series B Preferred Stock of the Registrant (incorporated by reference to Exhibit 3.1(a) to the Registrant’s Registration Statement on Form 8-A, filed with the Securities and Exchange Commission on March 24, 2023)</w:t>
              </w:r>
            </w:hyperlink>
          </w:p>
        </w:tc>
      </w:tr>
      <w:tr>
        <w:trPr/>
        <w:tc>
          <w:tcPr>
            <w:tcW w:w="7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3.5</w:t>
            </w:r>
          </w:p>
        </w:tc>
        <w:tc>
          <w:tcPr>
            <w:tcW w:w="326" w:type="dxa"/>
            <w:tcBorders/>
            <w:vAlign w:val="center"/>
          </w:tcPr>
          <w:p>
            <w:pPr>
              <w:pStyle w:val="TableContents"/>
              <w:bidi w:val="0"/>
              <w:spacing w:before="0" w:after="0"/>
              <w:ind w:left="0" w:right="0" w:hanging="0"/>
              <w:jc w:val="left"/>
              <w:rPr/>
            </w:pPr>
            <w:r>
              <w:rPr/>
              <w:t>​</w:t>
            </w:r>
          </w:p>
        </w:tc>
        <w:tc>
          <w:tcPr>
            <w:tcW w:w="9098" w:type="dxa"/>
            <w:tcBorders/>
            <w:vAlign w:val="center"/>
          </w:tcPr>
          <w:p>
            <w:pPr>
              <w:pStyle w:val="TableContents"/>
              <w:bidi w:val="0"/>
              <w:spacing w:before="0" w:after="0"/>
              <w:ind w:left="0" w:right="0" w:hanging="0"/>
              <w:jc w:val="left"/>
              <w:rPr/>
            </w:pPr>
            <w:hyperlink r:id="rId6">
              <w:r>
                <w:rPr>
                  <w:rStyle w:val="InternetLink"/>
                  <w:rFonts w:ascii="Times New Roman;Times;serif" w:hAnsi="Times New Roman;Times;serif"/>
                  <w:b w:val="false"/>
                  <w:i w:val="false"/>
                  <w:caps w:val="false"/>
                  <w:smallCaps w:val="false"/>
                  <w:sz w:val="20"/>
                </w:rPr>
                <w:t>Bylaws as amended and restated (incorporated by reference to Exhibit 3.3 to the Form 10-Q filed August 9, 2018)</w:t>
              </w:r>
            </w:hyperlink>
          </w:p>
        </w:tc>
      </w:tr>
      <w:tr>
        <w:trPr/>
        <w:tc>
          <w:tcPr>
            <w:tcW w:w="7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31.1#</w:t>
            </w:r>
          </w:p>
        </w:tc>
        <w:tc>
          <w:tcPr>
            <w:tcW w:w="326" w:type="dxa"/>
            <w:tcBorders/>
            <w:vAlign w:val="center"/>
          </w:tcPr>
          <w:p>
            <w:pPr>
              <w:pStyle w:val="TableContents"/>
              <w:bidi w:val="0"/>
              <w:spacing w:before="0" w:after="0"/>
              <w:ind w:left="0" w:right="0" w:hanging="0"/>
              <w:jc w:val="left"/>
              <w:rPr/>
            </w:pPr>
            <w:r>
              <w:rPr/>
              <w:t>​</w:t>
            </w:r>
          </w:p>
        </w:tc>
        <w:tc>
          <w:tcPr>
            <w:tcW w:w="9098" w:type="dxa"/>
            <w:tcBorders/>
            <w:vAlign w:val="center"/>
          </w:tcPr>
          <w:p>
            <w:pPr>
              <w:pStyle w:val="TableContents"/>
              <w:bidi w:val="0"/>
              <w:spacing w:before="0" w:after="0"/>
              <w:ind w:left="0" w:right="0" w:hanging="0"/>
              <w:jc w:val="left"/>
              <w:rPr/>
            </w:pPr>
            <w:hyperlink w:anchor="hsdt-20230331xex31d1.htm">
              <w:r>
                <w:rPr>
                  <w:rStyle w:val="InternetLink"/>
                  <w:rFonts w:ascii="Times New Roman;Times;serif" w:hAnsi="Times New Roman;Times;serif"/>
                  <w:b w:val="false"/>
                  <w:i w:val="false"/>
                  <w:caps w:val="false"/>
                  <w:smallCaps w:val="false"/>
                  <w:sz w:val="20"/>
                </w:rPr>
                <w:t>Certification of Chief Executive Officer pursuant to Rule 13a-14(a) and Rule 15d-14(a), as adopted pursuant to Section 302 of the Sarbanes-Oxley Act of 2002</w:t>
              </w:r>
            </w:hyperlink>
          </w:p>
        </w:tc>
      </w:tr>
      <w:tr>
        <w:trPr/>
        <w:tc>
          <w:tcPr>
            <w:tcW w:w="7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31.2#</w:t>
            </w:r>
          </w:p>
        </w:tc>
        <w:tc>
          <w:tcPr>
            <w:tcW w:w="326" w:type="dxa"/>
            <w:tcBorders/>
            <w:vAlign w:val="center"/>
          </w:tcPr>
          <w:p>
            <w:pPr>
              <w:pStyle w:val="TableContents"/>
              <w:bidi w:val="0"/>
              <w:spacing w:before="0" w:after="0"/>
              <w:ind w:left="0" w:right="0" w:hanging="0"/>
              <w:jc w:val="left"/>
              <w:rPr/>
            </w:pPr>
            <w:r>
              <w:rPr/>
              <w:t>​</w:t>
            </w:r>
          </w:p>
        </w:tc>
        <w:tc>
          <w:tcPr>
            <w:tcW w:w="9098" w:type="dxa"/>
            <w:tcBorders/>
            <w:vAlign w:val="center"/>
          </w:tcPr>
          <w:p>
            <w:pPr>
              <w:pStyle w:val="TableContents"/>
              <w:bidi w:val="0"/>
              <w:spacing w:before="0" w:after="0"/>
              <w:ind w:left="0" w:right="0" w:hanging="0"/>
              <w:jc w:val="left"/>
              <w:rPr/>
            </w:pPr>
            <w:hyperlink w:anchor="hsdt-20230331xex31d2.htm">
              <w:r>
                <w:rPr>
                  <w:rStyle w:val="InternetLink"/>
                  <w:rFonts w:ascii="Times New Roman;Times;serif" w:hAnsi="Times New Roman;Times;serif"/>
                  <w:b w:val="false"/>
                  <w:i w:val="false"/>
                  <w:caps w:val="false"/>
                  <w:smallCaps w:val="false"/>
                  <w:sz w:val="20"/>
                </w:rPr>
                <w:t>Certification of Chief Financial Officer pursuant to Rule 13a-14(a) and Rule 15d-14(a), as adopted pursuant to Section 302 of the Sarbanes-Oxley Act of 2002</w:t>
              </w:r>
            </w:hyperlink>
          </w:p>
        </w:tc>
      </w:tr>
      <w:tr>
        <w:trPr/>
        <w:tc>
          <w:tcPr>
            <w:tcW w:w="7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32.1#*</w:t>
            </w:r>
          </w:p>
        </w:tc>
        <w:tc>
          <w:tcPr>
            <w:tcW w:w="326" w:type="dxa"/>
            <w:tcBorders/>
            <w:vAlign w:val="center"/>
          </w:tcPr>
          <w:p>
            <w:pPr>
              <w:pStyle w:val="TableContents"/>
              <w:bidi w:val="0"/>
              <w:spacing w:before="0" w:after="0"/>
              <w:ind w:left="0" w:right="0" w:hanging="0"/>
              <w:jc w:val="left"/>
              <w:rPr/>
            </w:pPr>
            <w:r>
              <w:rPr/>
              <w:t>​</w:t>
            </w:r>
          </w:p>
        </w:tc>
        <w:tc>
          <w:tcPr>
            <w:tcW w:w="9098" w:type="dxa"/>
            <w:tcBorders/>
            <w:vAlign w:val="center"/>
          </w:tcPr>
          <w:p>
            <w:pPr>
              <w:pStyle w:val="TableContents"/>
              <w:bidi w:val="0"/>
              <w:spacing w:before="0" w:after="0"/>
              <w:ind w:left="0" w:right="0" w:hanging="0"/>
              <w:jc w:val="left"/>
              <w:rPr/>
            </w:pPr>
            <w:hyperlink w:anchor="hsdt-20230331xex32d1.htm">
              <w:r>
                <w:rPr>
                  <w:rStyle w:val="InternetLink"/>
                  <w:rFonts w:ascii="Times New Roman;Times;serif" w:hAnsi="Times New Roman;Times;serif"/>
                  <w:b w:val="false"/>
                  <w:i w:val="false"/>
                  <w:caps w:val="false"/>
                  <w:smallCaps w:val="false"/>
                  <w:sz w:val="20"/>
                </w:rPr>
                <w:t>Certification of Chief Executive Officer pursuant to 18 U.S.C. Section 1350, as adopted pursuant to Section 906 of the Sarbanes-Oxley Act of 2002</w:t>
              </w:r>
            </w:hyperlink>
          </w:p>
        </w:tc>
      </w:tr>
      <w:tr>
        <w:trPr/>
        <w:tc>
          <w:tcPr>
            <w:tcW w:w="7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32.2#*</w:t>
            </w:r>
          </w:p>
        </w:tc>
        <w:tc>
          <w:tcPr>
            <w:tcW w:w="326" w:type="dxa"/>
            <w:tcBorders/>
            <w:vAlign w:val="center"/>
          </w:tcPr>
          <w:p>
            <w:pPr>
              <w:pStyle w:val="TableContents"/>
              <w:bidi w:val="0"/>
              <w:spacing w:before="0" w:after="0"/>
              <w:ind w:left="0" w:right="0" w:hanging="0"/>
              <w:jc w:val="left"/>
              <w:rPr/>
            </w:pPr>
            <w:r>
              <w:rPr/>
              <w:t>​</w:t>
            </w:r>
          </w:p>
        </w:tc>
        <w:tc>
          <w:tcPr>
            <w:tcW w:w="9098" w:type="dxa"/>
            <w:tcBorders/>
            <w:vAlign w:val="center"/>
          </w:tcPr>
          <w:p>
            <w:pPr>
              <w:pStyle w:val="TableContents"/>
              <w:bidi w:val="0"/>
              <w:spacing w:before="0" w:after="0"/>
              <w:ind w:left="0" w:right="0" w:hanging="0"/>
              <w:jc w:val="left"/>
              <w:rPr/>
            </w:pPr>
            <w:hyperlink w:anchor="hsdt-20230331xex32d2.htm">
              <w:r>
                <w:rPr>
                  <w:rStyle w:val="InternetLink"/>
                  <w:rFonts w:ascii="Times New Roman;Times;serif" w:hAnsi="Times New Roman;Times;serif"/>
                  <w:b w:val="false"/>
                  <w:i w:val="false"/>
                  <w:caps w:val="false"/>
                  <w:smallCaps w:val="false"/>
                  <w:sz w:val="20"/>
                </w:rPr>
                <w:t>Certification of Chief Financial Officer pursuant to 18 U.S.C. Section 1350, as adopted pursuant to Section 906 of the Sarbanes-Oxley Act of 2002</w:t>
              </w:r>
            </w:hyperlink>
          </w:p>
        </w:tc>
      </w:tr>
      <w:tr>
        <w:trPr/>
        <w:tc>
          <w:tcPr>
            <w:tcW w:w="7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101.INS#</w:t>
            </w:r>
          </w:p>
        </w:tc>
        <w:tc>
          <w:tcPr>
            <w:tcW w:w="326" w:type="dxa"/>
            <w:tcBorders/>
            <w:vAlign w:val="center"/>
          </w:tcPr>
          <w:p>
            <w:pPr>
              <w:pStyle w:val="TableContents"/>
              <w:bidi w:val="0"/>
              <w:spacing w:before="0" w:after="0"/>
              <w:ind w:left="0" w:right="0" w:hanging="0"/>
              <w:jc w:val="left"/>
              <w:rPr/>
            </w:pPr>
            <w:r>
              <w:rPr/>
              <w:t>​</w:t>
            </w:r>
          </w:p>
        </w:tc>
        <w:tc>
          <w:tcPr>
            <w:tcW w:w="909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Instance Document</w:t>
            </w:r>
          </w:p>
        </w:tc>
      </w:tr>
      <w:tr>
        <w:trPr/>
        <w:tc>
          <w:tcPr>
            <w:tcW w:w="7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101.SCH#</w:t>
            </w:r>
          </w:p>
        </w:tc>
        <w:tc>
          <w:tcPr>
            <w:tcW w:w="326" w:type="dxa"/>
            <w:tcBorders/>
            <w:vAlign w:val="center"/>
          </w:tcPr>
          <w:p>
            <w:pPr>
              <w:pStyle w:val="TableContents"/>
              <w:bidi w:val="0"/>
              <w:spacing w:before="0" w:after="0"/>
              <w:ind w:left="0" w:right="0" w:hanging="0"/>
              <w:jc w:val="left"/>
              <w:rPr/>
            </w:pPr>
            <w:r>
              <w:rPr/>
              <w:t>​</w:t>
            </w:r>
          </w:p>
        </w:tc>
        <w:tc>
          <w:tcPr>
            <w:tcW w:w="909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Schema Document</w:t>
            </w:r>
          </w:p>
        </w:tc>
      </w:tr>
      <w:tr>
        <w:trPr/>
        <w:tc>
          <w:tcPr>
            <w:tcW w:w="7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101.CAL#</w:t>
            </w:r>
          </w:p>
        </w:tc>
        <w:tc>
          <w:tcPr>
            <w:tcW w:w="326" w:type="dxa"/>
            <w:tcBorders/>
            <w:vAlign w:val="center"/>
          </w:tcPr>
          <w:p>
            <w:pPr>
              <w:pStyle w:val="TableContents"/>
              <w:bidi w:val="0"/>
              <w:spacing w:before="0" w:after="0"/>
              <w:ind w:left="0" w:right="0" w:hanging="0"/>
              <w:jc w:val="left"/>
              <w:rPr/>
            </w:pPr>
            <w:r>
              <w:rPr/>
              <w:t>​</w:t>
            </w:r>
          </w:p>
        </w:tc>
        <w:tc>
          <w:tcPr>
            <w:tcW w:w="909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Calculation Linkbase Document</w:t>
            </w:r>
          </w:p>
        </w:tc>
      </w:tr>
      <w:tr>
        <w:trPr/>
        <w:tc>
          <w:tcPr>
            <w:tcW w:w="7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101.LAB#</w:t>
            </w:r>
          </w:p>
        </w:tc>
        <w:tc>
          <w:tcPr>
            <w:tcW w:w="326" w:type="dxa"/>
            <w:tcBorders/>
            <w:vAlign w:val="center"/>
          </w:tcPr>
          <w:p>
            <w:pPr>
              <w:pStyle w:val="TableContents"/>
              <w:bidi w:val="0"/>
              <w:spacing w:before="0" w:after="0"/>
              <w:ind w:left="0" w:right="0" w:hanging="0"/>
              <w:jc w:val="left"/>
              <w:rPr/>
            </w:pPr>
            <w:r>
              <w:rPr/>
              <w:t>​</w:t>
            </w:r>
          </w:p>
        </w:tc>
        <w:tc>
          <w:tcPr>
            <w:tcW w:w="909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Label Linkbase Document</w:t>
            </w:r>
          </w:p>
        </w:tc>
      </w:tr>
      <w:tr>
        <w:trPr/>
        <w:tc>
          <w:tcPr>
            <w:tcW w:w="7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101.PRE#</w:t>
            </w:r>
          </w:p>
        </w:tc>
        <w:tc>
          <w:tcPr>
            <w:tcW w:w="326" w:type="dxa"/>
            <w:tcBorders/>
            <w:vAlign w:val="center"/>
          </w:tcPr>
          <w:p>
            <w:pPr>
              <w:pStyle w:val="TableContents"/>
              <w:bidi w:val="0"/>
              <w:spacing w:before="0" w:after="0"/>
              <w:ind w:left="0" w:right="0" w:hanging="0"/>
              <w:jc w:val="left"/>
              <w:rPr/>
            </w:pPr>
            <w:r>
              <w:rPr/>
              <w:t>​</w:t>
            </w:r>
          </w:p>
        </w:tc>
        <w:tc>
          <w:tcPr>
            <w:tcW w:w="909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Presentation Linkbase Document</w:t>
            </w:r>
          </w:p>
        </w:tc>
      </w:tr>
      <w:tr>
        <w:trPr/>
        <w:tc>
          <w:tcPr>
            <w:tcW w:w="7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101.DEF#</w:t>
            </w:r>
          </w:p>
        </w:tc>
        <w:tc>
          <w:tcPr>
            <w:tcW w:w="326" w:type="dxa"/>
            <w:tcBorders/>
            <w:vAlign w:val="center"/>
          </w:tcPr>
          <w:p>
            <w:pPr>
              <w:pStyle w:val="TableContents"/>
              <w:bidi w:val="0"/>
              <w:spacing w:before="0" w:after="0"/>
              <w:ind w:left="0" w:right="0" w:hanging="0"/>
              <w:jc w:val="left"/>
              <w:rPr/>
            </w:pPr>
            <w:r>
              <w:rPr/>
              <w:t>​</w:t>
            </w:r>
          </w:p>
        </w:tc>
        <w:tc>
          <w:tcPr>
            <w:tcW w:w="909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Definition Linkbase Document</w:t>
            </w:r>
          </w:p>
        </w:tc>
      </w:tr>
      <w:tr>
        <w:trPr/>
        <w:tc>
          <w:tcPr>
            <w:tcW w:w="7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104#</w:t>
            </w:r>
          </w:p>
        </w:tc>
        <w:tc>
          <w:tcPr>
            <w:tcW w:w="326" w:type="dxa"/>
            <w:tcBorders/>
            <w:vAlign w:val="center"/>
          </w:tcPr>
          <w:p>
            <w:pPr>
              <w:pStyle w:val="TableContents"/>
              <w:bidi w:val="0"/>
              <w:spacing w:before="0" w:after="0"/>
              <w:ind w:left="0" w:right="0" w:hanging="0"/>
              <w:jc w:val="left"/>
              <w:rPr/>
            </w:pPr>
            <w:r>
              <w:rPr/>
              <w:t>​</w:t>
            </w:r>
          </w:p>
        </w:tc>
        <w:tc>
          <w:tcPr>
            <w:tcW w:w="909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Cover Page Interactive Data File (formatted as Inline XBRL and contained in Exhibit 101).</w:t>
            </w:r>
          </w:p>
        </w:tc>
      </w:tr>
    </w:tbl>
    <w:tbl>
      <w:tblPr>
        <w:tblW w:w="1592" w:type="dxa"/>
        <w:jc w:val="left"/>
        <w:tblInd w:w="0" w:type="dxa"/>
        <w:tblLayout w:type="fixed"/>
        <w:tblCellMar>
          <w:top w:w="0" w:type="dxa"/>
          <w:left w:w="0" w:type="dxa"/>
          <w:bottom w:w="0" w:type="dxa"/>
          <w:right w:w="0" w:type="dxa"/>
        </w:tblCellMar>
      </w:tblPr>
      <w:tblGrid>
        <w:gridCol w:w="226"/>
        <w:gridCol w:w="1366"/>
      </w:tblGrid>
      <w:tr>
        <w:trPr/>
        <w:tc>
          <w:tcPr>
            <w:tcW w:w="226"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1366"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Filed herewith.</w:t>
            </w:r>
          </w:p>
        </w:tc>
      </w:tr>
    </w:tbl>
    <w:tbl>
      <w:tblPr>
        <w:tblW w:w="10205" w:type="dxa"/>
        <w:jc w:val="left"/>
        <w:tblInd w:w="0" w:type="dxa"/>
        <w:tblLayout w:type="fixed"/>
        <w:tblCellMar>
          <w:top w:w="0" w:type="dxa"/>
          <w:left w:w="0" w:type="dxa"/>
          <w:bottom w:w="0" w:type="dxa"/>
          <w:right w:w="0" w:type="dxa"/>
        </w:tblCellMar>
      </w:tblPr>
      <w:tblGrid>
        <w:gridCol w:w="226"/>
        <w:gridCol w:w="9979"/>
      </w:tblGrid>
      <w:tr>
        <w:trPr/>
        <w:tc>
          <w:tcPr>
            <w:tcW w:w="22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w:t>
            </w:r>
          </w:p>
        </w:tc>
        <w:tc>
          <w:tcPr>
            <w:tcW w:w="9979"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These certifications are being furnished solely to accompany this quarterly report pursuant to 18 U.S.C. Section 1350, and are not being filed for purposes of Section 18 of the Securities Exchange Act of 1934, as amended, and are not to be incorporated by reference into any filing of the registrant, whether made before or after the date hereof, regardless of any general incorporation language in such filing.</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682" w:name="SIGNATURES_395744"/>
      <w:bookmarkStart w:id="683" w:name="_8c0ea78c_f6dd_49c9_90f9_ab4d742b75bf"/>
      <w:bookmarkEnd w:id="682"/>
      <w:bookmarkEnd w:id="683"/>
      <w:r>
        <w:rPr>
          <w:rFonts w:ascii="Times New Roman;Times;serif" w:hAnsi="Times New Roman;Times;serif"/>
          <w:b/>
          <w:sz w:val="20"/>
        </w:rPr>
        <w:t>SIGNATURES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thereunto duly authorized.</w:t>
      </w:r>
    </w:p>
    <w:tbl>
      <w:tblPr>
        <w:tblW w:w="6393" w:type="dxa"/>
        <w:jc w:val="left"/>
        <w:tblInd w:w="0" w:type="dxa"/>
        <w:tblLayout w:type="fixed"/>
        <w:tblCellMar>
          <w:top w:w="0" w:type="dxa"/>
          <w:left w:w="0" w:type="dxa"/>
          <w:bottom w:w="0" w:type="dxa"/>
          <w:right w:w="0" w:type="dxa"/>
        </w:tblCellMar>
      </w:tblPr>
      <w:tblGrid>
        <w:gridCol w:w="1846"/>
        <w:gridCol w:w="406"/>
        <w:gridCol w:w="4141"/>
      </w:tblGrid>
      <w:tr>
        <w:trPr/>
        <w:tc>
          <w:tcPr>
            <w:tcW w:w="184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4141" w:type="dxa"/>
            <w:tcBorders/>
            <w:vAlign w:val="center"/>
          </w:tcPr>
          <w:p>
            <w:pPr>
              <w:pStyle w:val="TableContents"/>
              <w:bidi w:val="0"/>
              <w:spacing w:before="0" w:after="0"/>
              <w:ind w:left="0" w:right="0" w:hanging="0"/>
              <w:jc w:val="left"/>
              <w:rPr/>
            </w:pPr>
            <w:r>
              <w:rPr/>
              <w:t>​</w:t>
            </w:r>
          </w:p>
        </w:tc>
      </w:tr>
      <w:tr>
        <w:trPr/>
        <w:tc>
          <w:tcPr>
            <w:tcW w:w="1846" w:type="dxa"/>
            <w:tcBorders/>
            <w:vAlign w:val="center"/>
          </w:tcPr>
          <w:p>
            <w:pPr>
              <w:pStyle w:val="TableContents"/>
              <w:bidi w:val="0"/>
              <w:spacing w:before="0" w:after="0"/>
              <w:ind w:left="0" w:right="0" w:hanging="0"/>
              <w:jc w:val="left"/>
              <w:rPr/>
            </w:pPr>
            <w:r>
              <w:rPr/>
              <w:t>​</w:t>
            </w:r>
          </w:p>
        </w:tc>
        <w:tc>
          <w:tcPr>
            <w:tcW w:w="4547"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HELIUS MEDICAL TECHNOLOGIES, INC.</w:t>
            </w:r>
          </w:p>
        </w:tc>
      </w:tr>
      <w:tr>
        <w:trPr/>
        <w:tc>
          <w:tcPr>
            <w:tcW w:w="184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4141" w:type="dxa"/>
            <w:tcBorders/>
            <w:vAlign w:val="center"/>
          </w:tcPr>
          <w:p>
            <w:pPr>
              <w:pStyle w:val="TableContents"/>
              <w:bidi w:val="0"/>
              <w:spacing w:before="0" w:after="0"/>
              <w:ind w:left="0" w:right="0" w:hanging="0"/>
              <w:jc w:val="left"/>
              <w:rPr/>
            </w:pPr>
            <w:r>
              <w:rPr/>
              <w:t>​</w:t>
            </w:r>
          </w:p>
        </w:tc>
      </w:tr>
      <w:tr>
        <w:trPr/>
        <w:tc>
          <w:tcPr>
            <w:tcW w:w="18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Dated: May 11, 2023</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414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Dane C. Andreeff</w:t>
            </w:r>
          </w:p>
        </w:tc>
      </w:tr>
      <w:tr>
        <w:trPr/>
        <w:tc>
          <w:tcPr>
            <w:tcW w:w="184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41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Dane C. Andreeff</w:t>
            </w:r>
          </w:p>
        </w:tc>
      </w:tr>
      <w:tr>
        <w:trPr/>
        <w:tc>
          <w:tcPr>
            <w:tcW w:w="184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4141"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President and Chief Executive Officer</w:t>
            </w:r>
          </w:p>
        </w:tc>
      </w:tr>
      <w:tr>
        <w:trPr/>
        <w:tc>
          <w:tcPr>
            <w:tcW w:w="184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4141" w:type="dxa"/>
            <w:tcBorders/>
            <w:vAlign w:val="center"/>
          </w:tcPr>
          <w:p>
            <w:pPr>
              <w:pStyle w:val="TableContents"/>
              <w:bidi w:val="0"/>
              <w:spacing w:before="0" w:after="0"/>
              <w:ind w:left="0" w:right="0" w:hanging="0"/>
              <w:jc w:val="left"/>
              <w:rPr/>
            </w:pPr>
            <w:r>
              <w:rPr/>
              <w:t> </w:t>
            </w:r>
          </w:p>
        </w:tc>
      </w:tr>
      <w:tr>
        <w:trPr/>
        <w:tc>
          <w:tcPr>
            <w:tcW w:w="18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Dated: May 11, 2023</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414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Jeffrey S. Mathiesen</w:t>
            </w:r>
          </w:p>
        </w:tc>
      </w:tr>
      <w:tr>
        <w:trPr/>
        <w:tc>
          <w:tcPr>
            <w:tcW w:w="184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41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Jeffrey S. Mathiesen</w:t>
            </w:r>
          </w:p>
        </w:tc>
      </w:tr>
      <w:tr>
        <w:trPr/>
        <w:tc>
          <w:tcPr>
            <w:tcW w:w="184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41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Chief Financial Officer, Treasurer and Secretary</w:t>
            </w:r>
            <w:r>
              <w:rPr>
                <w:rFonts w:ascii="Times New Roman;Times;serif" w:hAnsi="Times New Roman;Times;serif"/>
                <w:sz w:val="20"/>
              </w:rPr>
              <w:br/>
            </w:r>
            <w:r>
              <w:rPr>
                <w:rFonts w:ascii="Times New Roman;Times;serif" w:hAnsi="Times New Roman;Times;serif"/>
                <w:i/>
                <w:sz w:val="20"/>
              </w:rPr>
              <w:t>(Principal Financial</w:t>
            </w:r>
          </w:p>
        </w:tc>
      </w:tr>
      <w:tr>
        <w:trPr/>
        <w:tc>
          <w:tcPr>
            <w:tcW w:w="184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4141"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Officer and Principal Accounting Officer)</w:t>
            </w:r>
          </w:p>
        </w:tc>
      </w:tr>
    </w:tbl>
    <w:p>
      <w:pPr>
        <w:pStyle w:val="TextBody"/>
        <w:bidi w:val="0"/>
        <w:spacing w:before="0" w:after="0"/>
        <w:ind w:left="0" w:right="0" w:hanging="0"/>
        <w:jc w:val="left"/>
        <w:rPr/>
      </w:pPr>
      <w:r>
        <w:rPr/>
        <w:t>​</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0" w:after="240"/>
        <w:ind w:left="0" w:right="0" w:hanging="0"/>
        <w:jc w:val="right"/>
        <w:rPr>
          <w:rFonts w:ascii="Times New Roman;Times;serif" w:hAnsi="Times New Roman;Times;serif"/>
          <w:b/>
          <w:sz w:val="20"/>
        </w:rPr>
      </w:pPr>
      <w:bookmarkStart w:id="684" w:name="hsdt-20230331xex31d1.htm"/>
      <w:bookmarkStart w:id="685" w:name="kshsdt20230331xex31d1"/>
      <w:bookmarkEnd w:id="684"/>
      <w:bookmarkEnd w:id="685"/>
      <w:r>
        <w:rPr>
          <w:rFonts w:ascii="Times New Roman;Times;serif" w:hAnsi="Times New Roman;Times;serif"/>
          <w:b/>
          <w:sz w:val="20"/>
        </w:rPr>
        <w:t>EXHIBIT 31.1</w:t>
      </w:r>
      <w:r>
        <w:br w:type="page"/>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CERTIFICATIONS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 Dane C. Andreeff, certify that:</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1)I have reviewed this report on Form 10-Q for the period ended March 31, 2023 of Helius Medical Technologies, Inc.</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360" w:right="0" w:hanging="0"/>
        <w:jc w:val="both"/>
        <w:rPr>
          <w:rFonts w:ascii="Times New Roman;Times;serif" w:hAnsi="Times New Roman;Times;serif"/>
          <w:sz w:val="20"/>
        </w:rPr>
      </w:pPr>
      <w:r>
        <w:rPr>
          <w:rFonts w:ascii="Times New Roman;Times;serif" w:hAnsi="Times New Roman;Times;serif"/>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360" w:right="0" w:hanging="0"/>
        <w:jc w:val="both"/>
        <w:rPr>
          <w:rFonts w:ascii="Times New Roman;Times;serif" w:hAnsi="Times New Roman;Times;serif"/>
          <w:sz w:val="20"/>
        </w:rPr>
      </w:pPr>
      <w:r>
        <w:rPr>
          <w:rFonts w:ascii="Times New Roman;Times;serif" w:hAnsi="Times New Roman;Times;serif"/>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ind w:left="360" w:right="0" w:hanging="0"/>
        <w:jc w:val="both"/>
        <w:rPr>
          <w:rFonts w:ascii="Times New Roman;Times;serif" w:hAnsi="Times New Roman;Times;serif"/>
          <w:sz w:val="20"/>
        </w:rPr>
      </w:pPr>
      <w:r>
        <w:rPr>
          <w:rFonts w:ascii="Times New Roman;Times;serif" w:hAnsi="Times New Roman;Times;serif"/>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360" w:right="0" w:hanging="0"/>
        <w:jc w:val="both"/>
        <w:rPr>
          <w:rFonts w:ascii="Times New Roman;Times;serif" w:hAnsi="Times New Roman;Times;serif"/>
          <w:sz w:val="20"/>
        </w:rPr>
      </w:pPr>
      <w:r>
        <w:rPr>
          <w:rFonts w:ascii="Times New Roman;Times;serif" w:hAnsi="Times New Roman;Times;serif"/>
          <w:sz w:val="20"/>
        </w:rPr>
        <w:t>b)Any fraud, whether or not material, that involves management or other employees who have a significant role in the registrant’s internal control over financial reporting.</w:t>
      </w:r>
    </w:p>
    <w:tbl>
      <w:tblPr>
        <w:tblW w:w="4138" w:type="dxa"/>
        <w:jc w:val="center"/>
        <w:tblInd w:w="0" w:type="dxa"/>
        <w:tblLayout w:type="fixed"/>
        <w:tblCellMar>
          <w:top w:w="0" w:type="dxa"/>
          <w:left w:w="0" w:type="dxa"/>
          <w:bottom w:w="0" w:type="dxa"/>
          <w:right w:w="0" w:type="dxa"/>
        </w:tblCellMar>
      </w:tblPr>
      <w:tblGrid>
        <w:gridCol w:w="1741"/>
        <w:gridCol w:w="326"/>
        <w:gridCol w:w="2071"/>
      </w:tblGrid>
      <w:tr>
        <w:trPr/>
        <w:tc>
          <w:tcPr>
            <w:tcW w:w="17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May 11, 2023</w:t>
            </w:r>
          </w:p>
        </w:tc>
        <w:tc>
          <w:tcPr>
            <w:tcW w:w="326" w:type="dxa"/>
            <w:tcBorders/>
            <w:vAlign w:val="center"/>
          </w:tcPr>
          <w:p>
            <w:pPr>
              <w:pStyle w:val="TableContents"/>
              <w:bidi w:val="0"/>
              <w:spacing w:before="0" w:after="0"/>
              <w:ind w:left="0" w:right="0" w:hanging="0"/>
              <w:jc w:val="left"/>
              <w:rPr/>
            </w:pPr>
            <w:r>
              <w:rPr/>
              <w:t>    </w:t>
            </w:r>
          </w:p>
        </w:tc>
        <w:tc>
          <w:tcPr>
            <w:tcW w:w="207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Dane C. Andreeff</w:t>
            </w:r>
          </w:p>
        </w:tc>
      </w:tr>
      <w:tr>
        <w:trPr/>
        <w:tc>
          <w:tcPr>
            <w:tcW w:w="17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07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Dane C. Andreeff</w:t>
            </w:r>
          </w:p>
        </w:tc>
      </w:tr>
      <w:tr>
        <w:trPr/>
        <w:tc>
          <w:tcPr>
            <w:tcW w:w="174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0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w:t>
            </w:r>
          </w:p>
        </w:tc>
      </w:tr>
      <w:tr>
        <w:trPr/>
        <w:tc>
          <w:tcPr>
            <w:tcW w:w="174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07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686" w:name="hsdt-20230331xex31d2.htm"/>
      <w:bookmarkStart w:id="687" w:name="kshsdt20230331xex31d2"/>
      <w:bookmarkEnd w:id="686"/>
      <w:bookmarkEnd w:id="687"/>
      <w:r>
        <w:rPr>
          <w:rFonts w:ascii="Times New Roman;Times;serif" w:hAnsi="Times New Roman;Times;serif"/>
          <w:b/>
          <w:sz w:val="20"/>
        </w:rPr>
        <w:t>EXHIBIT 31.2</w:t>
      </w:r>
      <w:r>
        <w:br w:type="page"/>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CERTIFICATIONS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 Jeffrey S. Mathiesen, certify that:</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1)I have reviewed this report on Form 10-Q for the period ended March 31, 2023 of Helius Medical Technologies, Inc.</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360" w:right="0" w:hanging="0"/>
        <w:jc w:val="both"/>
        <w:rPr>
          <w:rFonts w:ascii="Times New Roman;Times;serif" w:hAnsi="Times New Roman;Times;serif"/>
          <w:sz w:val="20"/>
        </w:rPr>
      </w:pPr>
      <w:r>
        <w:rPr>
          <w:rFonts w:ascii="Times New Roman;Times;serif" w:hAnsi="Times New Roman;Times;serif"/>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360" w:right="0" w:hanging="0"/>
        <w:jc w:val="both"/>
        <w:rPr>
          <w:rFonts w:ascii="Times New Roman;Times;serif" w:hAnsi="Times New Roman;Times;serif"/>
          <w:sz w:val="20"/>
        </w:rPr>
      </w:pPr>
      <w:r>
        <w:rPr>
          <w:rFonts w:ascii="Times New Roman;Times;serif" w:hAnsi="Times New Roman;Times;serif"/>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ind w:left="360" w:right="0" w:hanging="0"/>
        <w:jc w:val="both"/>
        <w:rPr>
          <w:rFonts w:ascii="Times New Roman;Times;serif" w:hAnsi="Times New Roman;Times;serif"/>
          <w:sz w:val="20"/>
        </w:rPr>
      </w:pPr>
      <w:r>
        <w:rPr>
          <w:rFonts w:ascii="Times New Roman;Times;serif" w:hAnsi="Times New Roman;Times;serif"/>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360" w:right="0" w:hanging="0"/>
        <w:jc w:val="both"/>
        <w:rPr>
          <w:rFonts w:ascii="Times New Roman;Times;serif" w:hAnsi="Times New Roman;Times;serif"/>
          <w:sz w:val="20"/>
        </w:rPr>
      </w:pPr>
      <w:r>
        <w:rPr>
          <w:rFonts w:ascii="Times New Roman;Times;serif" w:hAnsi="Times New Roman;Times;serif"/>
          <w:sz w:val="20"/>
        </w:rPr>
        <w:t>b)Any fraud, whether or not material, that involves management or other employees who have a significant role in the registrant’s internal control over financial reporting.</w:t>
      </w:r>
    </w:p>
    <w:tbl>
      <w:tblPr>
        <w:tblW w:w="3876" w:type="dxa"/>
        <w:jc w:val="center"/>
        <w:tblInd w:w="0" w:type="dxa"/>
        <w:tblLayout w:type="fixed"/>
        <w:tblCellMar>
          <w:top w:w="0" w:type="dxa"/>
          <w:left w:w="0" w:type="dxa"/>
          <w:bottom w:w="0" w:type="dxa"/>
          <w:right w:w="0" w:type="dxa"/>
        </w:tblCellMar>
      </w:tblPr>
      <w:tblGrid>
        <w:gridCol w:w="1741"/>
        <w:gridCol w:w="109"/>
        <w:gridCol w:w="2026"/>
      </w:tblGrid>
      <w:tr>
        <w:trPr/>
        <w:tc>
          <w:tcPr>
            <w:tcW w:w="174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026" w:type="dxa"/>
            <w:tcBorders/>
            <w:vAlign w:val="center"/>
          </w:tcPr>
          <w:p>
            <w:pPr>
              <w:pStyle w:val="TableContents"/>
              <w:bidi w:val="0"/>
              <w:spacing w:before="0" w:after="0"/>
              <w:ind w:left="0" w:right="0" w:hanging="0"/>
              <w:jc w:val="left"/>
              <w:rPr/>
            </w:pPr>
            <w:r>
              <w:rPr/>
              <w:t>​</w:t>
            </w:r>
          </w:p>
        </w:tc>
      </w:tr>
      <w:tr>
        <w:trPr/>
        <w:tc>
          <w:tcPr>
            <w:tcW w:w="17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May 11, 2023</w:t>
            </w:r>
          </w:p>
        </w:tc>
        <w:tc>
          <w:tcPr>
            <w:tcW w:w="109" w:type="dxa"/>
            <w:tcBorders/>
            <w:vAlign w:val="center"/>
          </w:tcPr>
          <w:p>
            <w:pPr>
              <w:pStyle w:val="TableContents"/>
              <w:bidi w:val="0"/>
              <w:spacing w:before="0" w:after="0"/>
              <w:ind w:left="0" w:right="0" w:hanging="0"/>
              <w:jc w:val="left"/>
              <w:rPr/>
            </w:pPr>
            <w:r>
              <w:rPr/>
              <w:t>​</w:t>
            </w:r>
          </w:p>
        </w:tc>
        <w:tc>
          <w:tcPr>
            <w:tcW w:w="202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Jeffrey S. Mathiesen</w:t>
            </w:r>
          </w:p>
        </w:tc>
      </w:tr>
      <w:tr>
        <w:trPr/>
        <w:tc>
          <w:tcPr>
            <w:tcW w:w="174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02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Jeffrey S. Mathiesen</w:t>
            </w:r>
          </w:p>
        </w:tc>
      </w:tr>
      <w:tr>
        <w:trPr/>
        <w:tc>
          <w:tcPr>
            <w:tcW w:w="174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0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r>
        <w:trPr/>
        <w:tc>
          <w:tcPr>
            <w:tcW w:w="174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026"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688" w:name="hsdt-20230331xex32d1.htm"/>
      <w:bookmarkStart w:id="689" w:name="kshsdt20230331xex32d1"/>
      <w:bookmarkEnd w:id="688"/>
      <w:bookmarkEnd w:id="689"/>
      <w:r>
        <w:rPr>
          <w:rFonts w:ascii="Times New Roman;Times;serif" w:hAnsi="Times New Roman;Times;serif"/>
          <w:b/>
          <w:sz w:val="20"/>
        </w:rPr>
        <w:t>EXHIBIT 32.1</w:t>
      </w:r>
      <w:r>
        <w:br w:type="page"/>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OF CHIEF EXECUTIVE OFFICER</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HELIUS MEDICAL TECHNOLOGIES,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FORM 10-Q FOR THE QUARTER ENDED MARCH 31, 2023</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PURSUANT TO 18 U.S.C. SECTION 1350, AS ADOPTED</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PURSUANT TO SECTION 906 OF THE SARBANES-OXLEY ACT OF 2002</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 am the Chief Executive Officer of Helius Medical Technologies, Inc., a Delaware corporation (the “Company”). I am delivering this certificate in connection with the Form 10-Q of the Company for the quarter ended March 31, 2023 and filed with the Securities and Exchange Commission (“Form 10-Q”).</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Pursuant to 18 U.S.C. Section 1350, as adopted pursuant to Section 906 of the Sarbanes-Oxley Act of 2002, I hereby certify that, to the best of my knowledge, the Form 10-Q fully complies with the requirements of Section 13(a) or Section 15(d) of the Securities Exchange Act of 1934 and that the information contained in the Form 10-Q fairly presents, in all material respects, the financial condition and results of operations of the Company.</w:t>
      </w:r>
    </w:p>
    <w:tbl>
      <w:tblPr>
        <w:tblW w:w="4138" w:type="dxa"/>
        <w:jc w:val="center"/>
        <w:tblInd w:w="0" w:type="dxa"/>
        <w:tblLayout w:type="fixed"/>
        <w:tblCellMar>
          <w:top w:w="0" w:type="dxa"/>
          <w:left w:w="0" w:type="dxa"/>
          <w:bottom w:w="0" w:type="dxa"/>
          <w:right w:w="0" w:type="dxa"/>
        </w:tblCellMar>
      </w:tblPr>
      <w:tblGrid>
        <w:gridCol w:w="1741"/>
        <w:gridCol w:w="326"/>
        <w:gridCol w:w="2071"/>
      </w:tblGrid>
      <w:tr>
        <w:trPr/>
        <w:tc>
          <w:tcPr>
            <w:tcW w:w="17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1105535" cy="175260"/>
                      <wp:effectExtent l="0" t="0" r="0" b="0"/>
                      <wp:wrapNone/>
                      <wp:docPr id="131" name="Frame131"/>
                      <a:graphic xmlns:a="http://schemas.openxmlformats.org/drawingml/2006/main">
                        <a:graphicData uri="http://schemas.microsoft.com/office/word/2010/wordprocessingShape">
                          <wps:wsp>
                            <wps:cNvSpPr txBox="1"/>
                            <wps:spPr>
                              <a:xfrm>
                                <a:off x="0" y="0"/>
                                <a:ext cx="1105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0"/>
              <w:ind w:left="0" w:right="0" w:hanging="0"/>
              <w:jc w:val="left"/>
              <w:rPr/>
            </w:pPr>
            <w:r>
              <w:rPr/>
              <w:t>​</w:t>
            </w:r>
          </w:p>
        </w:tc>
        <w:tc>
          <w:tcPr>
            <w:tcW w:w="20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1315720" cy="175260"/>
                      <wp:effectExtent l="0" t="0" r="0" b="0"/>
                      <wp:wrapNone/>
                      <wp:docPr id="132" name="Frame132"/>
                      <a:graphic xmlns:a="http://schemas.openxmlformats.org/drawingml/2006/main">
                        <a:graphicData uri="http://schemas.microsoft.com/office/word/2010/wordprocessingShape">
                          <wps:wsp>
                            <wps:cNvSpPr txBox="1"/>
                            <wps:spPr>
                              <a:xfrm>
                                <a:off x="0" y="0"/>
                                <a:ext cx="13157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7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May 11, 2023</w:t>
            </w:r>
          </w:p>
        </w:tc>
        <w:tc>
          <w:tcPr>
            <w:tcW w:w="326" w:type="dxa"/>
            <w:tcBorders/>
            <w:vAlign w:val="center"/>
          </w:tcPr>
          <w:p>
            <w:pPr>
              <w:pStyle w:val="TableContents"/>
              <w:bidi w:val="0"/>
              <w:spacing w:before="0" w:after="0"/>
              <w:ind w:left="0" w:right="0" w:hanging="0"/>
              <w:jc w:val="left"/>
              <w:rPr/>
            </w:pPr>
            <w:r>
              <w:rPr/>
              <w:t>    </w:t>
            </w:r>
          </w:p>
        </w:tc>
        <w:tc>
          <w:tcPr>
            <w:tcW w:w="207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Dane C. Andreeff</w:t>
            </w:r>
          </w:p>
        </w:tc>
      </w:tr>
      <w:tr>
        <w:trPr/>
        <w:tc>
          <w:tcPr>
            <w:tcW w:w="17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07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Dane C. Andreeff</w:t>
            </w:r>
          </w:p>
        </w:tc>
      </w:tr>
      <w:tr>
        <w:trPr/>
        <w:tc>
          <w:tcPr>
            <w:tcW w:w="17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0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690" w:name="hsdt-20230331xex32d2.htm"/>
      <w:bookmarkStart w:id="691" w:name="kshsdt20230331xex32d2"/>
      <w:bookmarkEnd w:id="690"/>
      <w:bookmarkEnd w:id="691"/>
      <w:r>
        <w:rPr>
          <w:rFonts w:ascii="Times New Roman;Times;serif" w:hAnsi="Times New Roman;Times;serif"/>
          <w:b/>
          <w:sz w:val="20"/>
        </w:rPr>
        <w:t>EXHIBIT 32.2</w:t>
      </w:r>
      <w:r>
        <w:br w:type="page"/>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OF CHIEF FINANCIAL OFFICER</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HELIUS MEDICAL TECHNOLOGIES,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FORM 10-Q FOR THE QUARTER ENDED MARCH 31, 2023</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PURSUANT TO 18 U.S.C. SECTION 1350, AS ADOPTED</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PURSUANT TO SECTION 906 OF THE SARBANES-OXLEY ACT OF 2002</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 am the Chief Financial Officer of Helius Medical Technologies, Inc., a Delaware corporation (the “Company”). I am delivering this certificate in connection with the Form 10-Q of the Company for the quarter ended March 31, 2023 and filed with the Securities and Exchange Commission (“Form 10-Q”).</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Pursuant to 18 U.S.C. Section 1350, as adopted pursuant to Section 906 of the Sarbanes-Oxley Act of 2002, I hereby certify that, to the best of my knowledge, the Form 10-Q fully complies with the requirements of Section 13(a) or Section 15(d) of the Securities Exchange Act of 1934 and that the information contained in the Form 10-Q fairly presents, in all material respects, the financial condition and results of operations of the Company.</w:t>
      </w:r>
    </w:p>
    <w:tbl>
      <w:tblPr>
        <w:tblW w:w="3876" w:type="dxa"/>
        <w:jc w:val="left"/>
        <w:tblInd w:w="0" w:type="dxa"/>
        <w:tblLayout w:type="fixed"/>
        <w:tblCellMar>
          <w:top w:w="0" w:type="dxa"/>
          <w:left w:w="0" w:type="dxa"/>
          <w:bottom w:w="0" w:type="dxa"/>
          <w:right w:w="0" w:type="dxa"/>
        </w:tblCellMar>
      </w:tblPr>
      <w:tblGrid>
        <w:gridCol w:w="1741"/>
        <w:gridCol w:w="109"/>
        <w:gridCol w:w="2026"/>
      </w:tblGrid>
      <w:tr>
        <w:trPr/>
        <w:tc>
          <w:tcPr>
            <w:tcW w:w="174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0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1286510" cy="175260"/>
                      <wp:effectExtent l="0" t="0" r="0" b="0"/>
                      <wp:wrapNone/>
                      <wp:docPr id="133" name="Frame133"/>
                      <a:graphic xmlns:a="http://schemas.openxmlformats.org/drawingml/2006/main">
                        <a:graphicData uri="http://schemas.microsoft.com/office/word/2010/wordprocessingShape">
                          <wps:wsp>
                            <wps:cNvSpPr txBox="1"/>
                            <wps:spPr>
                              <a:xfrm>
                                <a:off x="0" y="0"/>
                                <a:ext cx="1286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7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May 11, 2023</w:t>
            </w:r>
          </w:p>
        </w:tc>
        <w:tc>
          <w:tcPr>
            <w:tcW w:w="109" w:type="dxa"/>
            <w:tcBorders/>
            <w:vAlign w:val="center"/>
          </w:tcPr>
          <w:p>
            <w:pPr>
              <w:pStyle w:val="TableContents"/>
              <w:bidi w:val="0"/>
              <w:spacing w:before="0" w:after="0"/>
              <w:ind w:left="0" w:right="0" w:hanging="0"/>
              <w:jc w:val="left"/>
              <w:rPr/>
            </w:pPr>
            <w:r>
              <w:rPr/>
              <w:t>​</w:t>
            </w:r>
          </w:p>
        </w:tc>
        <w:tc>
          <w:tcPr>
            <w:tcW w:w="202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Jeffrey S. Mathiesen</w:t>
            </w:r>
          </w:p>
        </w:tc>
      </w:tr>
      <w:tr>
        <w:trPr/>
        <w:tc>
          <w:tcPr>
            <w:tcW w:w="174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02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Jeffrey S. Mathiesen</w:t>
            </w:r>
          </w:p>
        </w:tc>
      </w:tr>
      <w:tr>
        <w:trPr/>
        <w:tc>
          <w:tcPr>
            <w:tcW w:w="174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0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Calibri">
    <w:altName w:val="Helvetica"/>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0001610853/000156459018020736/hsdt-ex31_66.htm" TargetMode="External"/><Relationship Id="rId3" Type="http://schemas.openxmlformats.org/officeDocument/2006/relationships/hyperlink" Target="https://www.sec.gov/Archives/edgar/data/0001610853/000119312518312155/d646047dex31.htm" TargetMode="External"/><Relationship Id="rId4" Type="http://schemas.openxmlformats.org/officeDocument/2006/relationships/hyperlink" Target="https://www.sec.gov/Archives/edgar/data/0001610853/000156459020058917/hsdt-ex31_7.htm" TargetMode="External"/><Relationship Id="rId5" Type="http://schemas.openxmlformats.org/officeDocument/2006/relationships/hyperlink" Target="https://www.sec.gov/Archives/edgar/data/1610853/000110465923036609/tm2310398d1_ex3-1.htm" TargetMode="External"/><Relationship Id="rId6" Type="http://schemas.openxmlformats.org/officeDocument/2006/relationships/hyperlink" Target="https://www.sec.gov/Archives/edgar/data/0001610853/000156459018020736/hsdt-ex33_68.htm"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10785</Words>
  <Characters>59212</Characters>
  <CharactersWithSpaces>70639</CharactersWithSpaces>
  <Paragraphs>2669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