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333-251804</w:t>
      </w:r>
    </w:p>
    <w:p>
      <w:pPr>
        <w:spacing w:after="0" w:line="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and 333-252495</w:t>
      </w:r>
    </w:p>
    <w:p>
      <w:pPr>
        <w:spacing w:after="0" w:line="1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82725" cy="762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HELIUS MEDICAL TECHNOLOGIES, INC.</w:t>
      </w:r>
    </w:p>
    <w:p>
      <w:pPr>
        <w:spacing w:after="0" w:line="7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647,772 Units consisting of shares of Class A common stock and warrants (and shares of Class A common stock underlying such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7" w:lineRule="exact"/>
        <w:rPr>
          <w:sz w:val="24"/>
          <w:szCs w:val="24"/>
          <w:color w:val="auto"/>
        </w:rPr>
      </w:pPr>
    </w:p>
    <w:p>
      <w:pPr>
        <w:ind w:left="120" w:right="140" w:firstLine="440"/>
        <w:spacing w:after="0" w:line="275" w:lineRule="auto"/>
        <w:rPr>
          <w:sz w:val="20"/>
          <w:szCs w:val="20"/>
          <w:color w:val="auto"/>
        </w:rPr>
      </w:pPr>
      <w:r>
        <w:rPr>
          <w:rFonts w:ascii="Times New Roman" w:cs="Times New Roman" w:eastAsia="Times New Roman" w:hAnsi="Times New Roman"/>
          <w:sz w:val="16"/>
          <w:szCs w:val="16"/>
          <w:color w:val="auto"/>
        </w:rPr>
        <w:t>We are offering 647,772 Units, with each Unit consisting of one share of Class A common stock, par value $0.001 per share (the “common stock”), and one warrant to purchase 0.5 shares of our common stock (together with the shares of common stock underlying such warrants, the “Units”) at a public offering price of $14.82 per Unit. Warrants included in the Units have an exercise price of $16.302 per whole share of common stock (the “Warrants”), or 110% of the price of each Unit sold in the offering.</w:t>
      </w:r>
    </w:p>
    <w:p>
      <w:pPr>
        <w:spacing w:after="0" w:line="21" w:lineRule="exact"/>
        <w:rPr>
          <w:sz w:val="24"/>
          <w:szCs w:val="24"/>
          <w:color w:val="auto"/>
        </w:rPr>
      </w:pPr>
    </w:p>
    <w:p>
      <w:pPr>
        <w:ind w:left="120" w:right="200" w:firstLine="440"/>
        <w:spacing w:after="0" w:line="298" w:lineRule="auto"/>
        <w:rPr>
          <w:sz w:val="20"/>
          <w:szCs w:val="20"/>
          <w:color w:val="auto"/>
        </w:rPr>
      </w:pPr>
      <w:r>
        <w:rPr>
          <w:rFonts w:ascii="Times New Roman" w:cs="Times New Roman" w:eastAsia="Times New Roman" w:hAnsi="Times New Roman"/>
          <w:sz w:val="16"/>
          <w:szCs w:val="16"/>
          <w:color w:val="auto"/>
        </w:rPr>
        <w:t>The Units will not be certificated and the shares of common stock and Warrants comprising the Units are immediately separable and will be issued separately in this offering. The Warrants will be exercisable immediately upon issuance and will expire on the five year anniversary of the original issuance date.</w:t>
      </w:r>
    </w:p>
    <w:p>
      <w:pPr>
        <w:spacing w:after="0" w:line="2" w:lineRule="exact"/>
        <w:rPr>
          <w:sz w:val="24"/>
          <w:szCs w:val="24"/>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“HSDT” and on the Toronto Stock Exchange, or TSX, under the symbol “HSM.” See “Prospectus Summary—Recent Developments” in this prospectus for important information about the listing of our common stock on The Nasdaq Capital Market. We do not intend to list the Warrants to be sold in this offering on any stock exchange or other trading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1" w:lineRule="exact"/>
        <w:rPr>
          <w:sz w:val="24"/>
          <w:szCs w:val="24"/>
          <w:color w:val="auto"/>
        </w:rPr>
      </w:pPr>
    </w:p>
    <w:p>
      <w:pPr>
        <w:ind w:left="120" w:firstLine="44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Investing in our securities involves a high degree of risk. Before making any investment in our securities, you should read and carefully consider the risks described in this prospectus under the section of this prospectus entitled “</w:t>
      </w:r>
      <w:hyperlink w:anchor="page10">
        <w:r>
          <w:rPr>
            <w:rFonts w:ascii="Times New Roman" w:cs="Times New Roman" w:eastAsia="Times New Roman" w:hAnsi="Times New Roman"/>
            <w:sz w:val="20"/>
            <w:szCs w:val="20"/>
            <w:b w:val="1"/>
            <w:bCs w:val="1"/>
            <w:u w:val="single" w:color="auto"/>
            <w:color w:val="0000EE"/>
          </w:rPr>
          <w:t>Risk Factors</w:t>
        </w:r>
      </w:hyperlink>
      <w:r>
        <w:rPr>
          <w:rFonts w:ascii="Times New Roman" w:cs="Times New Roman" w:eastAsia="Times New Roman" w:hAnsi="Times New Roman"/>
          <w:sz w:val="20"/>
          <w:szCs w:val="20"/>
          <w:b w:val="1"/>
          <w:bCs w:val="1"/>
          <w:color w:val="auto"/>
        </w:rPr>
        <w:t>” on page 7 of this prospectus.</w:t>
      </w:r>
    </w:p>
    <w:p>
      <w:pPr>
        <w:spacing w:after="0" w:line="10"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Unit (1)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9,599,981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 (2)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770,978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Helius Medical Technologies, Inc.</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13.634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8,829,003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ind w:left="540" w:right="640" w:hanging="424"/>
        <w:spacing w:after="0" w:line="269"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offering price and underwriting discount in respect of the Units corresponds to (i) a public offering price per share of common stock of $14.81 ($13.6252 net of the underwriting discount) and (ii) a public offering price per Warrant of $0.01 ($0.0092 net of the underwriting discount).</w:t>
      </w:r>
    </w:p>
    <w:p>
      <w:pPr>
        <w:ind w:left="540" w:right="440" w:hanging="424"/>
        <w:spacing w:after="0" w:line="288"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agreed to pay certain expenses of the underwriter in this offering. We refer you to “Underwriting” on page 121 for additional information regarding underwriting compensation.</w:t>
      </w:r>
    </w:p>
    <w:p>
      <w:pPr>
        <w:spacing w:after="0" w:line="64" w:lineRule="exact"/>
        <w:rPr>
          <w:sz w:val="24"/>
          <w:szCs w:val="24"/>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6"/>
          <w:szCs w:val="16"/>
          <w:color w:val="auto"/>
        </w:rPr>
        <w:t>Affiliates of our Interim Chief Executive Officer have indicated an interest in purchasing approximately $250,000 of our Units in this offering on the same terms and at the same price as the units sold to the public in this offering. However, because indications of interest are not binding agreements or commitments to purchase, the underwriter may determine to sell more, fewer or no units in this offering to affiliates of our Interim Chief Executive Officer, and affiliates of our Interim Chief Executive Officer may determine to purchase more, fewer or no units in this offering. The underwriter will receive the same underwriting discount on any units of common stock purchased by affiliates of our Interim Chief Executive Officer as they will on any other units sold to the public in this offering.</w:t>
      </w:r>
    </w:p>
    <w:p>
      <w:pPr>
        <w:spacing w:after="0" w:line="22" w:lineRule="exact"/>
        <w:rPr>
          <w:sz w:val="24"/>
          <w:szCs w:val="24"/>
          <w:color w:val="auto"/>
        </w:rPr>
      </w:pPr>
    </w:p>
    <w:p>
      <w:pPr>
        <w:ind w:left="120" w:right="220" w:firstLine="440"/>
        <w:spacing w:after="0" w:line="30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 w:lineRule="exact"/>
        <w:rPr>
          <w:sz w:val="24"/>
          <w:szCs w:val="24"/>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6"/>
          <w:szCs w:val="16"/>
          <w:color w:val="auto"/>
        </w:rPr>
        <w:t>The underwriter has the option to purchase up to (i) 97,164 additional shares of common stock, and/or (ii) additional Warrants to purchase up to 48,582 additional shares of common stock solely to cover over-allotments, if any, at the public offering price per share of common stock and the public offering price per Warrant set forth above less the underwriting discounts and commissions. The over-allotment option may be used to purchase shares of common stock and/or Warrants, or any combination thereof, as determined by the underwriter, but such purchases cannot exceed an aggregate of 15% of the number of shares of common stock to be issued at closing and 15% of the Warrants. The over-allotment option is exercisable for 45 days from the date of this prospectus.</w:t>
      </w:r>
    </w:p>
    <w:p>
      <w:pPr>
        <w:spacing w:after="0" w:line="24" w:lineRule="exact"/>
        <w:rPr>
          <w:sz w:val="24"/>
          <w:szCs w:val="24"/>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6"/>
          <w:szCs w:val="16"/>
          <w:color w:val="auto"/>
        </w:rPr>
        <w:t>In addition, we have agreed to issue upon the closing of this offering to Ladenburg Thalmann &amp; Co. Inc., as representative of the underwriters, warrants that will expire on the fifth anniversary of the commencement of sales in this offering entitling the representative to purchase 4.0% of the total number of shares of common stock sold in this offering. The registration statement of which this prospectus is a part also covers the underwriters’ warrants and the shares of common stock issuable upon the exercise thereof. For additional information regarding our arrangement with the underwriters, please see “Underwriting” beginning on page 121.</w:t>
      </w:r>
    </w:p>
    <w:p>
      <w:pPr>
        <w:spacing w:after="0" w:line="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underwriter expects to deliver the securities being offered pursuant to this prospectus against payment therefor on or about February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Sole Book-Running Manager</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Ladenburg Thalmann</w:t>
      </w:r>
    </w:p>
    <w:p>
      <w:pPr>
        <w:sectPr>
          <w:pgSz w:w="11900" w:h="16838" w:orient="portrait"/>
          <w:cols w:equalWidth="0" w:num="1">
            <w:col w:w="11140"/>
          </w:cols>
          <w:pgMar w:left="320" w:top="226" w:right="439" w:bottom="1440" w:gutter="0" w:footer="0" w:header="0"/>
        </w:sectPr>
      </w:pP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The date of this prospectus is January 28, 2021.</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1160" w:type="dxa"/>
            <w:vAlign w:val="bottom"/>
          </w:tcPr>
          <w:p>
            <w:pPr>
              <w:spacing w:after="0"/>
              <w:rPr>
                <w:sz w:val="20"/>
                <w:szCs w:val="20"/>
                <w:color w:val="auto"/>
              </w:rPr>
            </w:pPr>
          </w:p>
        </w:tc>
      </w:tr>
      <w:tr>
        <w:trPr>
          <w:trHeight w:val="513"/>
        </w:trPr>
        <w:tc>
          <w:tcPr>
            <w:tcW w:w="99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4"/>
                <w:szCs w:val="24"/>
                <w:color w:val="auto"/>
              </w:rPr>
            </w:pPr>
          </w:p>
        </w:tc>
      </w:tr>
      <w:tr>
        <w:trPr>
          <w:trHeight w:val="441"/>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WHERE YOU CAN FIND ADDITIONAL INFORMATION</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PROSPECTUS SUMMARY</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CAUTIONARY NOTE REGARDING FORWARD-LOOKING STATEMENTS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USE OF PROCEEDS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MARKET INFORMATION AND DIVIDEND POLICY</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CAPITALIZATION</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DILUTION</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BUSINESS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MANAGEMENT</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EXECUTIVE COMPENSATION</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CERTAIN RELATIONSHIPS AND RELATED TRANSACTIONS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DESCRIPTION OF SECURITIES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UNDERWRITING</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MATERIAL U.S. FEDERAL INCOME TAX CONSIDERATIONS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LEGAL MATTERS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EXPERTS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9920" w:type="dxa"/>
            <w:vAlign w:val="bottom"/>
          </w:tcPr>
          <w:p>
            <w:pPr>
              <w:ind w:left="120"/>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FINANCIAL STATEMENTS</w:t>
              </w:r>
            </w:hyperlink>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and any free-writing prospectus that we authorize to be distributed to you. We have not, and the underwriter has not, authorized anyone to provide you with information different from or in addition to that contained in this prospectus or any related free-writing prospectus. If anyone provides you with different or inconsistent information, you should not rely on it. We are offering to sell, and are seeking offers to buy, the securities offered by this prospectus only in jurisdictions where offers and sales are permitted. The information contained in this prospectus is accurate only as of the date of this prospectus, regardless of the time of delivery of this prospectus or of any sale of the securities. Our business, financial conditions, results of operations and prospects may have changed since that date. You should also read and consider the information in the documents to which we have referred you under the caption “Where You Can Find Additional Information” in this prospectus.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distribution of this prospectus outside the United States. No sales of our securities under this prospectus will be made to a resident of Canada.</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obtained industry and market data used throughout this prospectus through our research, surveys and studies conducted by third parties and industry and general publications. We have not independently verified market and industry data from third-party sources.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(“SEC”). It omits some of the information contained in the registration statement and reference is made to the registration statement for further information with regard to us and the securities being offered hereby. You should review the information and exhibits in the registration statement for further information about us and the securities being offered hereby. Statements in this prospectus concerning any document we filed as an exhibit to the registration statement or that we otherwise filed with the SEC are not intended to be comprehensive and are qualified by reference to the filings. You should review the complete document to evaluate these statements.</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the additional information described below under “Where You Can Find Additional Information” before making an investment decision. You should rely only on the information contained in this prospectus. We have not authorized any other person to provide you with different information. If anyone provides you with additional, different or inconsistent information, you should not rely on it. This prospectus is not an offer to sell these securities and it is not soliciting an offer to buy these securities in any jurisdiction where the offer or sale is not permitted, including Canada.</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is accurate as of any date other than the date on the front of such document. Our business, financial condition, results of operations and prospects may have changed since those date.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in accordance with the Securities Exchange Act of 1934, as amended (the “Exchange Act”). Our reports, proxy statements and other information filed with the SEC are available free of charge to the public over the Internet at the SEC’s website at http://www.sec.gov. These documents may also be accessed on our website at www.heliusmedical.com. We are not including the information on our website as a part of, nor incorporating it by reference into, this prospectus or the registration statement of which it forms a part.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22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our financial statements and related notes, the information in the section “Risk Factors,” and “Where You Can Find Additional Information.” Unless otherwise specified or the context otherwise requires, references in this prospectus to the “Company,” “Helius,” “we,” “us”, and “our” refer to Helius Medical Technologies, Inc. and its wholly owned subsidiaries, Helius Medical, Inc., or HMI, Helius Medical Technologies (Canada), Inc., or HMC, Helius Canada Acquisition Ltd., or HCA, and Helius NeuroRehab, Inc., or HNR.</w:t>
      </w:r>
    </w:p>
    <w:p>
      <w:pPr>
        <w:spacing w:after="0" w:line="182"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 trademarks or trade names referred to in this prospectus are the property of their respective owners. Solely for convenience, the trademarks and trade names in this prospectus are referred to without the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are a neurotech company focused on neurological wellness. Our purpose is to develop, license and acquire unique and non-invasive platform technologies that amplify the brain’s ability to heal itself.</w:t>
      </w:r>
    </w:p>
    <w:p>
      <w:pPr>
        <w:spacing w:after="0" w:line="162"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first product, known as the Portable Neuromodulation Stimulator, or PoNS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(“PoNS”), is authorized for sale in Canada as a class II, non-implantable, medical device intended as a short term treatment (14 weeks) of gait deficit due to symptoms from multiple sclerosis (“MS”), and balance deficit due to mild-to-moderate traumatic brain injury (“mmTBI”) and is to be used in conjunction with physical therapy, or the PoNS Treatment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(“PoNS Treatment”). The PoNS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currently not commercially available in the United States, the European Union or Australia.</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NeuroHabilitation Corporation, or NHC, a Delaware corporation, incorporated on January 22, 2013, is involved in the medical device industry. In January 2013, HMI entered into an exclusive rights agreement whereby Advanced Neuro-Rehabilitation LLC, or ANR, granted NHC exclusive worldwide rights to ANR’s trade secrets, knowhow and patent pending technology for a non-invasive means for delivering neurostimulation through the oral cavity, in exchange for a 50% equity investment in NHC and a 4% royalty of NHC’s revenue collected from</w:t>
      </w:r>
    </w:p>
    <w:p>
      <w:pPr>
        <w:spacing w:after="0" w:line="3" w:lineRule="exact"/>
        <w:rPr>
          <w:sz w:val="20"/>
          <w:szCs w:val="20"/>
          <w:color w:val="auto"/>
        </w:rPr>
      </w:pPr>
    </w:p>
    <w:p>
      <w:pPr>
        <w:ind w:left="300" w:right="200" w:hanging="2"/>
        <w:spacing w:after="0" w:line="260" w:lineRule="auto"/>
        <w:tabs>
          <w:tab w:leader="none" w:pos="5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sales of products covered by any claim of the patent pending rights to end users and (b) services related to the therapy or use of such products in therapy services.</w:t>
      </w:r>
    </w:p>
    <w:p>
      <w:pPr>
        <w:spacing w:after="0" w:line="18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June 13, 2014, we acquired a 100% interest in NHC pursuant to a plan of merger whereby our wholly-owned subsidiary was merged with and into NHC and all of the common shares in the capital of NHC were cancelled in consideration for the issuance of an aggregate of 201,714 shares of our common stock to the shareholders of NHC. NHC, which changed its name to Helius Medical, Inc. in December 2018, is now our wholly-owned subsidiary. Prior to the transaction we had no active business.</w:t>
      </w:r>
    </w:p>
    <w:p>
      <w:pPr>
        <w:spacing w:after="0" w:line="180"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On January 31, 2019, we formed another wholly owned subsidiary, Helius NeuroRehab, Inc., a Delaware corporation. On October 10, 2019, we formed Helius Canada Acquisition Ltd., a company incorporated under the</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04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federal laws of Canada and a wholly owned subsidiary of Helius Medical Technologies (Canada), Inc., a company incorporated under the federal laws of Canada, which acquired Heuro Canada, Inc. from Health Tech Connex Inc. on October 30, 2019.</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October 2020 Private Placement</w:t>
      </w:r>
    </w:p>
    <w:p>
      <w:pPr>
        <w:spacing w:after="0" w:line="11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On October 26, 2020, the Company closed on a private placement of an aggregate of 187,646 shares of common stock and warrants to purchase an aggregate of 93,817 shares of common stock (the “October 2020 Private Placement”) at a purchase price of $18.20 per unit, consisting of one share and a warrant to purchase 0.50 shares of common stock, resulting in gross proceeds of approximately $3.4 million, excluding the proceeds, if any, that the Company may receive in the future from the exercise of the warrants. The Company incurred $0.2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private placement on the same terms and conditions as all other purchasers, except that they paid $18.354 per unit and their warrants have an exercise price of $16.1665 per share.</w:t>
      </w:r>
    </w:p>
    <w:p>
      <w:pPr>
        <w:spacing w:after="0" w:line="18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October 2020 Private Placement, each purchaser who subscribed for at least $250,000 in the October 2020 Private Placement has the right to participate in up to such purchaser’s pro rata portion of 30% of the such subsequent financing on the same terms, conditions and price provided for in the subsequent financing.</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Nasdaq Notice</w:t>
      </w:r>
    </w:p>
    <w:p>
      <w:pPr>
        <w:spacing w:after="0" w:line="119"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On March 23, 2020, the Company received notice from the Listing Qualifications Staff (the “Staff”) of The Nasdaq Stock Market LLC (“Nasdaq”) that the bid price for the Company’s common stock had closed below $1.00 per share for the prior 30-consecutive business day period and that the Company had been granted a 180-day grace period, through September 21, 2020, to regain compliance with Nasdaq Marketplace Rule 5550(a)(2) (the “Minimum Bid Price Rule”). Thereafter, on April 17, 2020, the Company received an additional notice from the Staff indicating that Nasdaq had temporarily stayed enforcement of the Minimum Bid Price Rule through June 30, 2020 and, accordingly, the 180-day grace period applicable to the Company would not expire until December 3, 2020.</w:t>
      </w:r>
    </w:p>
    <w:p>
      <w:pPr>
        <w:spacing w:after="0" w:line="187"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Nasdaq Hearings Panel (the “Panel”). The Company timely submitted a request for a hearing before the Panel, which request stayed any suspension or delisting action by Nasdaq at least until the hearing process concludes and any extension granted by the Panel expires.</w:t>
      </w:r>
    </w:p>
    <w:p>
      <w:pPr>
        <w:spacing w:after="0" w:line="183"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0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 Following such meeting, our board of directors approved a final reverse stock split ratio of 1-for-35.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split-adjusted basis on the Nasdaq Capital Market and TSX on January 4, 2021. The reverse stock split did not change the par value of our stock or the authorized number of common or preferred shares. All share and per share amounts for all periods presented in this prospectus and the registration statement of which it forms a part have been retroactively adjusted to reflect the reverse stock split we previously effected on January 22, 2018 and for the reverse stock split effected on December 31, 2020.</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you should be aware of before making a decision to invest in our securities, as fully described under “Risk Factors” in this prospectus. The principal factors and uncertainties that make investing in our securities risky include, among others:</w:t>
      </w:r>
    </w:p>
    <w:p>
      <w:pPr>
        <w:spacing w:after="0" w:line="8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achieve or sustain profitability in the future;</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carry out our plan of operations, and failure to obtain such financing may cause our business to fail;</w:t>
      </w:r>
    </w:p>
    <w:p>
      <w:pPr>
        <w:spacing w:after="0" w:line="6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only have one product candidate, the PoNS device, which is authorized for commercial distribution in Canada, and we have not obtained authorization to distribute the PoNS device commercially in the United States, Europe or Australia and may never obtain such authorization;</w:t>
      </w:r>
    </w:p>
    <w:p>
      <w:pPr>
        <w:spacing w:after="0" w:line="81"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planned clinical trials, and planned clinical trials may fail to demonstrate the safety and efficacy of the PoNS device to the satisfaction of regulatory authorities;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revenue related to the PoNS technology is dependent on the PoNS Treatment being prescribed by physicians in the United States and our ability to train physical therapists in the supervision of the use of the PoNS Treatment;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awareness of the PoNS device is limited, and the neuromodulation market is new and uncertain;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our market;</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scientists and research institutions, in part, for research and development and on third parties for the manufacture and distribution of our product;</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outbreaks of communicable diseases may continue to materially and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gain access to our technology if our intellectual property protection is insufficient;</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various litigation claims and legal proceedings, including intellectual property litigation, which may adversely affect our business;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product outside of Canada is dependent on obtaining market authorization from the FDA and foreign regulatory authorities, which will require significant time, research, development, and clinical study expenditures and ultimately may not be successful;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552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3552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secure contracts with workers’ compensation and third-party administrators or rehabilitation clinics could have a negative impact on our sales and would have a material adverse effect on our business, financial condition and operating results;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reimbursement code from the U.S. Department of Health and Human Services so that the PoNS device is covered by Medicare and Medicaid could have a negative impact on our intended sales and would have a material adverse effect on our business, financial condition and operating results;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healthcare laws, we could face substantial penalties and financial exposure;</w:t>
      </w:r>
    </w:p>
    <w:p>
      <w:pPr>
        <w:spacing w:after="0" w:line="130"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ongoing government scrutiny and regulation in connection with the development of product candidates and following marketing authorization;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commercialization, a product recall or the discovery of serious safety issues with our products could have a significant adverse impact on us;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the victim of a cyber-related crime, and our controls may not be successful in avoiding future cyber-related crimes.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prospectus or the registration statement of which it forms a part. Additionally, the SEC maintains a website that contains annual, quarterly, and current reports, proxy statements, and other information that issuers (including us) file electronically with the SEC. The SEC’s website address is http://www.sec.gov.</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9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Helius Medical Technologies, Inc.</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Units Offered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offering 647,772 Units. Each Unit consists of one share of common stock and a Warrant to purchase 0.5 shares of our common stock (together with the shares of common stock underlying such Warrants).</w:t>
      </w:r>
    </w:p>
    <w:p>
      <w:pPr>
        <w:spacing w:after="0" w:line="199"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 Price per Unit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$14.82</w:t>
      </w:r>
    </w:p>
    <w:p>
      <w:pPr>
        <w:spacing w:after="0" w:line="207"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Warrants will be exercisable immediately upon issuance and will expire on the five year anniversary of the original issuance date and have an initial exercise price equal to $16.302 per share, or 110% of the price of each Unit sold in the offering, subject to appropriate adjustment in the event of recapitalization events, stock dividends, stock splits, stock combinations, reclassifications, reorganizations or similar events affecting our common stock.</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Description of Underwriters’ Warrants</w:t>
      </w:r>
    </w:p>
    <w:p>
      <w:pPr>
        <w:spacing w:after="0" w:line="20" w:lineRule="exact"/>
        <w:rPr>
          <w:sz w:val="20"/>
          <w:szCs w:val="20"/>
          <w:color w:val="auto"/>
        </w:rPr>
      </w:pPr>
      <w:r>
        <w:rPr>
          <w:sz w:val="20"/>
          <w:szCs w:val="20"/>
          <w:color w:val="auto"/>
        </w:rPr>
        <w:br w:type="column"/>
      </w:r>
    </w:p>
    <w:p>
      <w:pPr>
        <w:ind w:right="200"/>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we have agreed to issue to Ladenburg Thalmann &amp; Co. Inc., as representative of the underwriters, warrants, that will expire on the fifth anniversary of the commencement of sales in this offering, entitling the representative to purchase 4.0% of the number of shares of common stock sold in this offering. The registration statement of which this prospectus is a part also covers the underwriters’ warrants and the common shares issuable upon the exercise thereof. For additional information regarding our arrangement with the underwriters, please see “Underwriting.”</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Shares of common stock underlying the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323,886 shares.</w:t>
      </w:r>
    </w:p>
    <w:p>
      <w:pPr>
        <w:spacing w:after="0" w:line="200" w:lineRule="exact"/>
        <w:rPr>
          <w:sz w:val="20"/>
          <w:szCs w:val="20"/>
          <w:color w:val="auto"/>
        </w:rPr>
      </w:pPr>
    </w:p>
    <w:p>
      <w:pPr>
        <w:sectPr>
          <w:pgSz w:w="11900" w:h="16838" w:orient="portrait"/>
          <w:cols w:equalWidth="0" w:num="2">
            <w:col w:w="4120" w:space="220"/>
            <w:col w:w="6800"/>
          </w:cols>
          <w:pgMar w:left="320" w:top="455" w:right="439" w:bottom="1440" w:gutter="0" w:footer="0" w:header="0"/>
          <w:type w:val="continuous"/>
        </w:sectPr>
      </w:pPr>
    </w:p>
    <w:p>
      <w:pPr>
        <w:spacing w:after="0" w:line="73"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Shares of common stock outstanding before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1,566,163 shares as of January 11, 2021.</w:t>
      </w:r>
    </w:p>
    <w:p>
      <w:pPr>
        <w:spacing w:after="0" w:line="488" w:lineRule="exact"/>
        <w:rPr>
          <w:sz w:val="20"/>
          <w:szCs w:val="20"/>
          <w:color w:val="auto"/>
        </w:rPr>
      </w:pPr>
    </w:p>
    <w:p>
      <w:pPr>
        <w:sectPr>
          <w:pgSz w:w="11900" w:h="16838" w:orient="portrait"/>
          <w:cols w:equalWidth="0" w:num="2">
            <w:col w:w="3980" w:space="36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Shares of common stock to be outstanding after this </w:t>
      </w:r>
      <w:r>
        <w:rPr>
          <w:rFonts w:ascii="Times New Roman" w:cs="Times New Roman" w:eastAsia="Times New Roman" w:hAnsi="Times New Roman"/>
          <w:sz w:val="18"/>
          <w:szCs w:val="18"/>
          <w:color w:val="auto"/>
        </w:rPr>
        <w:t>2,213,935 shares (2,537,821 shares if the Warrants sold in this offering are exercised in</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full).</w:t>
            </w:r>
          </w:p>
        </w:tc>
      </w:tr>
      <w:tr>
        <w:trPr>
          <w:trHeight w:val="432"/>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We have granted the underwriter an option to purchase up to an additional 97,164 shares of</w:t>
            </w:r>
          </w:p>
        </w:tc>
      </w:tr>
      <w:tr>
        <w:trPr>
          <w:trHeight w:val="216"/>
        </w:trPr>
        <w:tc>
          <w:tcPr>
            <w:tcW w:w="336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common stock and/or Warrants to purchase up to 48,582 shares of common stock at the</w:t>
            </w:r>
          </w:p>
        </w:tc>
      </w:tr>
      <w:tr>
        <w:trPr>
          <w:trHeight w:val="216"/>
        </w:trPr>
        <w:tc>
          <w:tcPr>
            <w:tcW w:w="336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public offering price per share of common stock and the public offering price per Warrant</w:t>
            </w:r>
          </w:p>
        </w:tc>
      </w:tr>
      <w:tr>
        <w:trPr>
          <w:trHeight w:val="216"/>
        </w:trPr>
        <w:tc>
          <w:tcPr>
            <w:tcW w:w="336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set forth on the cover page hereto less the underwriting discounts and commission. This</w:t>
            </w:r>
          </w:p>
        </w:tc>
      </w:tr>
      <w:tr>
        <w:trPr>
          <w:trHeight w:val="216"/>
        </w:trPr>
        <w:tc>
          <w:tcPr>
            <w:tcW w:w="336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option is exercisable, in whole or in part, for a period of 45 days from the date of this</w:t>
            </w:r>
          </w:p>
        </w:tc>
      </w:tr>
      <w:tr>
        <w:trPr>
          <w:trHeight w:val="234"/>
        </w:trPr>
        <w:tc>
          <w:tcPr>
            <w:tcW w:w="336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prospectus.</w:t>
            </w:r>
          </w:p>
        </w:tc>
      </w:tr>
      <w:tr>
        <w:trPr>
          <w:trHeight w:val="441"/>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Potential insider participation</w:t>
            </w: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Affiliates of our Interim Chief Executive Officer have indicated an interest in purchasing</w:t>
            </w:r>
          </w:p>
        </w:tc>
      </w:tr>
      <w:tr>
        <w:trPr>
          <w:trHeight w:val="216"/>
        </w:trPr>
        <w:tc>
          <w:tcPr>
            <w:tcW w:w="336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approximately $250,000 of our Units in this offering on the same terms and at the same</w:t>
            </w:r>
          </w:p>
        </w:tc>
      </w:tr>
      <w:tr>
        <w:trPr>
          <w:trHeight w:val="234"/>
        </w:trPr>
        <w:tc>
          <w:tcPr>
            <w:tcW w:w="336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price as the units sold to</w:t>
            </w:r>
          </w:p>
        </w:tc>
      </w:tr>
      <w:tr>
        <w:trPr>
          <w:trHeight w:val="240"/>
        </w:trPr>
        <w:tc>
          <w:tcPr>
            <w:tcW w:w="3360" w:type="dxa"/>
            <w:vAlign w:val="bottom"/>
            <w:tcBorders>
              <w:bottom w:val="single" w:sz="8" w:color="auto"/>
            </w:tcBorders>
          </w:tcPr>
          <w:p>
            <w:pPr>
              <w:spacing w:after="0"/>
              <w:rPr>
                <w:sz w:val="20"/>
                <w:szCs w:val="20"/>
                <w:color w:val="auto"/>
              </w:rPr>
            </w:pPr>
          </w:p>
        </w:tc>
        <w:tc>
          <w:tcPr>
            <w:tcW w:w="7660" w:type="dxa"/>
            <w:vAlign w:val="bottom"/>
            <w:tcBorders>
              <w:bottom w:val="single" w:sz="8" w:color="auto"/>
            </w:tcBorders>
          </w:tcPr>
          <w:p>
            <w:pPr>
              <w:spacing w:after="0"/>
              <w:rPr>
                <w:sz w:val="20"/>
                <w:szCs w:val="20"/>
                <w:color w:val="auto"/>
              </w:rPr>
            </w:pPr>
          </w:p>
        </w:tc>
      </w:tr>
      <w:tr>
        <w:trPr>
          <w:trHeight w:val="604"/>
        </w:trPr>
        <w:tc>
          <w:tcPr>
            <w:tcW w:w="3360" w:type="dxa"/>
            <w:vAlign w:val="bottom"/>
          </w:tcPr>
          <w:p>
            <w:pPr>
              <w:spacing w:after="0"/>
              <w:rPr>
                <w:sz w:val="24"/>
                <w:szCs w:val="24"/>
                <w:color w:val="auto"/>
              </w:rPr>
            </w:pPr>
          </w:p>
        </w:tc>
        <w:tc>
          <w:tcPr>
            <w:tcW w:w="7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5" w:lineRule="auto"/>
        <w:rPr>
          <w:sz w:val="20"/>
          <w:szCs w:val="20"/>
          <w:color w:val="auto"/>
        </w:rPr>
      </w:pPr>
      <w:r>
        <w:rPr>
          <w:rFonts w:ascii="Times New Roman" w:cs="Times New Roman" w:eastAsia="Times New Roman" w:hAnsi="Times New Roman"/>
          <w:sz w:val="18"/>
          <w:szCs w:val="18"/>
          <w:color w:val="auto"/>
        </w:rPr>
        <w:t>the public in this offering. However, because indications of interest are not binding agreements or commitments to purchase, the underwriter may determine to sell more, fewer or no Units in this offering to affiliates of our Interim Chief Executive Officer, and affiliates of our Interim Chief Executive Officer may determine to purchase more, fewer or no Units in this offering. The underwriter will receive the same underwriting discount on any Units purchased by affiliates of our Interim Chief Executive Officer as they will on any other Units sold to the public in this offering.</w:t>
      </w:r>
    </w:p>
    <w:p>
      <w:pPr>
        <w:sectPr>
          <w:pgSz w:w="11900" w:h="16838" w:orient="portrait"/>
          <w:cols w:equalWidth="0" w:num="1">
            <w:col w:w="10920"/>
          </w:cols>
          <w:pgMar w:left="320" w:top="455" w:right="659" w:bottom="1440" w:gutter="0" w:footer="0" w:header="0"/>
        </w:sect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Market and Trading Symbol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“HSDT” and on the TSX under the symbol “HSM.” See “—Recent Developments” above for important information about the listing of our common stock on The Nasdaq Capital Market. There is no established trading market for the Warrants being offered and we do not expect a market to develop. In addition, we do not intend to apply for the listing of the Warrants on any national securities exchange or other trading market. Without an active trading market, the liquidity of the Warrants will be limited.</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for funding operations, working capital and general corporate purposes. See “Use of Proceeds” herein.</w:t>
      </w:r>
    </w:p>
    <w:p>
      <w:pPr>
        <w:spacing w:after="0" w:line="185"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No listing of Warrants</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We do not intend to apply for listing of the Warrants on any securities exchange or trading system.</w:t>
      </w:r>
    </w:p>
    <w:p>
      <w:pPr>
        <w:spacing w:after="0" w:line="185"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and consider the section of this prospectus entitled “Risk Factors” on page 7 of this prospectus for a discussion of factors to consider before deciding to invest in this offering.</w:t>
      </w:r>
    </w:p>
    <w:p>
      <w:pPr>
        <w:spacing w:after="0" w:line="176"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is based on 1,566,163 shares of common stock outstanding as of January 11, 2021 and excludes the shares of common stock being offered by this prospectus and issuable upon exercise of the Warrants and also excludes the following:</w:t>
      </w:r>
    </w:p>
    <w:p>
      <w:pPr>
        <w:spacing w:after="0" w:line="81" w:lineRule="exact"/>
        <w:rPr>
          <w:sz w:val="20"/>
          <w:szCs w:val="20"/>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111,074 shares of common stock issuable upon the exercise of stock options outstanding as of January 11, 2021, at a weighted-average exercise price of US$156.23 per share;</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191,921 shares of common stock issuable upon the exercise of warrants (excluding the Warrants) outstanding as of January 11, 2021, at a weighted-average exercise price of US$16.01, and 68,351 shares of common stock issuable upon the exercise of warrants outstanding as of January 11, 2021, at a weighted-average exercise price of CAD$428.75 (or US$335.28 based on the exchange rate on January 11, 2021); and</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96,969 shares of common stock reserved for future issuance under our 2018 Omnibus Incentive Plan as of January 11, 2021.</w:t>
      </w:r>
    </w:p>
    <w:p>
      <w:pPr>
        <w:spacing w:after="0" w:line="225"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All share and per share amounts for all periods presented in this prospectus and the registration statement of which it forms a part have been retroactively adjusted to reflect the reverse stock split we previously effected on January 22, 2018 and for the reverse stock split effected on December 31,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has a high degree of risk. Before you invest you should carefully consider the risks and uncertainties described below and the other information in this prospectus.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incurred substantial net losses since our inception. For the years ended December 31, 2019 and 2018, we incurred a net loss of $9.8 million and $28.6 million, respectively, and used cash in operations of $21.0 million and $19.6 million, respectively. We have an accumulated deficit of $104.8 million as of December 31, 2019. For the nine months ended September 30, 2020, we incurred a net loss of $11.4 million and used cash in operations of $9.6 million. As of September 30, 2020, our accumulated deficit was $116.4 million.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While we have received a medical device license from Health Canada to market the PoNS device in Canada, and even if we are successful in obtaining marketing authorization from the FDA in order to launch our PoNS device in the United States or additional foreign regulatory authorities to launch outside of the United States, we expect to continue to incur substantial losses for the foreseeable future as we continue to research and develop and seek regulatory marketing authorization for our product candidate.</w:t>
      </w:r>
    </w:p>
    <w:p>
      <w:pPr>
        <w:spacing w:after="0" w:line="19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all of the business risks and uncertainties associated with any new business enterprise, including under-capitalization, cash shortages, limitations with respect to personnel, financial and other resources, lack of significant revenue and the risk that we will not achieve our growth objective. If sales revenue from any product candidate that receives marketing authorization from the FDA or other regulatory body is insufficient, if we are unable to develop and commercialize any of our potential product candidates, or if our product development is delayed, we may never achieve or sustain profitability.</w:t>
      </w:r>
    </w:p>
    <w:p>
      <w:pPr>
        <w:spacing w:after="0" w:line="2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carry out our plan of operations and if we are unable to obtain such financing, our business may fail.</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limited working capital and liquid assets. We had cash of $5.5 million and $2.7 million at December 31, 2019 and September 30, 2020, respectively. To date we have not generated significant revenue from the commercial sale of products or services. There are a number of conditions that we must satisfy before we will be able to generate significant revenue, including but not limited to FDA marketing authorization of the PoNS device, manufacturing of a commercially-viable version of the PoNS device, obtaining favorable reimbursement from third party payers, and demonstration of effectiveness sufficient to generate commercial orders by customers for our product. We do not currently have sufficient resources to accomplish all of these conditions necessary for us to generate significant revenue, and we believe our existing capital resources, prior to the offering to which this prospectus relates, will be sufficient to fund our operations throughout the first quarter of 2021. We will therefore require substantial additional funds in order to continue to conduct the research and development and regulatory authorization activities necessary to bring our product to market, to establish effective marketing and sales capabilities and to develop other product candidates. We may never succeed in achieving regulatory authorization for our current product candidate in the United States, Europe or Australia.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be unable to raise the additional funding to finance our business on commercially reasonable terms, or at all. 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284" w:lineRule="exact"/>
        <w:rPr>
          <w:sz w:val="20"/>
          <w:szCs w:val="20"/>
          <w:color w:val="auto"/>
        </w:rPr>
      </w:pPr>
    </w:p>
    <w:p>
      <w:pPr>
        <w:ind w:left="120" w:right="7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candidate on terms unfavorable to us.</w:t>
      </w:r>
    </w:p>
    <w:p>
      <w:pPr>
        <w:spacing w:after="0" w:line="2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 future revenue streams, research programs or product candidate, or otherwise grant licenses on terms that are not favorable to us. If we are unable to raise additional capital when needed, we may be required to delay, limit, reduce or terminate our product development or commercialization efforts for our product candidate or our preclinical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298"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28"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management’s assessment, our report from our independent registered public accounting firm for the fiscal year ended December 31, 2019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prior to the offering to which this prospectus relates, will be sufficient to fund our operations throughout the first quarter of 2021. We have based this estimate on assumptions that may prove to be wrong, and we could exhaust our available capital resources sooner than we expect.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w:t>
      </w:r>
    </w:p>
    <w:p>
      <w:pPr>
        <w:spacing w:after="0" w:line="11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only have one product candidate, which is still in development, and we have not obtained authorization from the FDA to commercially distribute the device in the United States, a CE Mark for commercial distribution in Europe or from the TGA for commercial distribution in Australia, and we may never obtain such authorizations.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have no products authorized for commercial distribution in either the United States, Europe or Australia or in any other country outside of Canada. We are developing the PoNS device for use in the neuromodulation market, but we cannot begin marketing and selling the device in the United States, Europe or Australia until we obtain applicable authorizations from the FDA, European Union (Notified Body) or Therapeutic Goods Administration in Australia, respectively. While we have submitted applications for regulatory marketing authorization in the United States and Australia,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October 19, 2020, we announced that we received a request for additional information from the FDA related to the Company’s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76"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FDA has substantial discretion in the de novo review process and may refuse to accept our application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able to complete development of the PoNS device and obtain marketing authorization of the PoNS device for the treatment of gait deficit in patients with MS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 other marketing authorization could be substantial and would likely require additional funding, and each such indication would be subject to the same foregoing risks and uncertainties for FDA clearance/authorization.</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 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92"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the COVID-19 pandemic continues, we may experience additional disruptions that could severely impact our business and planned clinical trials including:</w:t>
      </w:r>
    </w:p>
    <w:p>
      <w:pPr>
        <w:spacing w:after="0" w:line="67" w:lineRule="exact"/>
        <w:rPr>
          <w:sz w:val="20"/>
          <w:szCs w:val="20"/>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on clinical trials, including the diversion of hospitals serving as clinical trial sites and hospital staff supporting the conduct of clinical trials;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 on travel imposed or recommended by federal or state governments, employers and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 in which clinical trials are conducted and may result in unexpected costs;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timing of our interactions with the FDA due to absenteeism by federal employees or the diversion of their efforts and attention to approval of other therapeutics or other activities related to COVID-19.</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risks specifically described above, the COVID-19 pandemic has exacerbated and precipitated the other risks described herein, and may continue to do so.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284"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PoNS technology is a novel form of neurostimulation therapy, and the medical community tends not to adopt new therapies very rapidly. If physicians elect not to prescribe the PoNS Treatment, or if we cannot train physical therapists in the supervision of the use of the PoNS Treatment, we will be unable to generate significant revenue, if any.</w:t>
      </w:r>
    </w:p>
    <w:p>
      <w:pPr>
        <w:spacing w:after="0" w:line="6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deployment strategy in the United States depends on physicians prescribing the PoNS Treatment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evidence supporting the beneficial characteristics of our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long-term data on the use of PoNS technology for therapy;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perception that there are insufficient advantages of our product relative to currently available products or compared to physical therapy alone;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train physical therapists in the supervision of patients’ use of the therapy;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commercial infrastructure to successfully launch;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hospitals may choose not to purchase our product;</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purchasing organizations may choose not to contract for our product, thus limiting availability of our products to hospital purchasers;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coverage or adequate payment from managed care plans and other third-party payers for our product;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Medicaid or other third-party payers may limit or not permit reimbursement for our product;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improvement of competitive products.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the medical community is slow to adopt, or declines to adopt our PoNS device for neurostimulation therapy, we will not be able to generate significant revenues, if any, which would have a material adverse effect on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limited market awareness of our product, and the neuromodulation market is new and uncertain.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There is currently limited market awareness of our product. In order to succeed, we must, among other things, increase market awareness of our PoNS Treatment and implement a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pacing w:after="0" w:line="28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67" w:lineRule="exact"/>
        <w:rPr>
          <w:sz w:val="20"/>
          <w:szCs w:val="20"/>
          <w:color w:val="auto"/>
        </w:rPr>
      </w:pPr>
    </w:p>
    <w:p>
      <w:pPr>
        <w:ind w:left="120" w:right="280" w:firstLine="440"/>
        <w:spacing w:after="0" w:line="277" w:lineRule="auto"/>
        <w:rPr>
          <w:sz w:val="20"/>
          <w:szCs w:val="20"/>
          <w:color w:val="auto"/>
        </w:rPr>
      </w:pPr>
      <w:r>
        <w:rPr>
          <w:rFonts w:ascii="Times New Roman" w:cs="Times New Roman" w:eastAsia="Times New Roman" w:hAnsi="Times New Roman"/>
          <w:sz w:val="17"/>
          <w:szCs w:val="17"/>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68"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able to establish ourselves in the neurostimulation market, or, if established, that we will be able to maintain our market position, if any. Our commercial opportunity may be reduced if our competitors develop new or improved products that are more convenient, more effective or less expensive than our product candidate is. Competitors also may obtain FDA or other regulatory marketing authorization for their products more rapidly or earlier than we may obtain marketing authorization for ours, which could result in our competitors establishing a strong market position before we are able to enter the market. Additionally, technologies developed by our competitors may render the PoNS device uneconomical or obsolete.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dependent in significant part on outside scientists and third-party research institutions for our research and development in order to be able to commercialize our product candidate.</w:t>
      </w:r>
    </w:p>
    <w:p>
      <w:pPr>
        <w:spacing w:after="0" w:line="5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currently have a limited number of employees and resources available to perform the research and development necessary to commercialize our PoNS Treatment and potential future product candidates. We therefore rely, and will continue to rely, on third-party research institutions, collaborators and consultants for this capability.</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depend on our third-party contract manufacturing partner to manufacture and supply our PoNS device for clinical and commercial purposes, and this contract manufacturer manufactured the units for our engineering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could encounter difficulties, including, but not limited to, those caused by the COVID-19 pandemic, in securing long-lead time components, achieving volume production, quality control and quality assurance or suffer shortages of qualified personnel, which could result in their inability to manufacture sufficient quantities of our commercially available product to meet market demand. Our third-party manufacturer or distributor may also fail to follow and remain in compliance with the FDA-mandated Quality System Regulations, or QSR, compliance which is required for all medical devices, or fail to document their compliance to QSRs, either of which could lead to significant delays in the availability of materials for our product and/or FDA enforcement actions against them and/or us.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be successful, we must expand our product lines beyond our PoNS Treatment for gait deficit due to symptoms from MS or balance deficit due to mmTBI, but we may not be able to do so in a timely fashion and at expected costs, or at all.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order to be successful, we will need to expand our product lines beyond our PoNS Treatment for gait deficit due to symptoms from MS or balance deficit due to mmTBI. To succeed in our commercialization efforts, we must effectively continue product development and testing, obtain regulatory authorizations, and enhance our sales, marketing and market access and reimbursement capabilities. There is no assurance that we will succeed in developing a future product candidate or in bringing any of our current or potential future product candidates to market outside of Canada. If we fail in bringing our product candidates to market, or experience delays in doing so, we will not generate revenues as planned and will need to curtail operations or seek additional financing earlier than otherwise anticipated.</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development of additional products is subject to the risks of failure inherent in the development of new, state of the art products, and products based on new technologies. These risks include: (a) delays in product development or manufacturing; (b) unplanned expenditures for product development or manufacturing; (c) failure of new products to have the desired effect or an acceptable accuracy and/or safety profile; (d) emergence of superior or equivalent products; (e) failure by any potential collaborative partners to successfully develop products; and (f) the dependence on third parties for the manufacture, development and sale of our products. Because of these risks, our research and development efforts or those of potential collaborative partners may not result in any commercially viable products. If a significant portion of these development efforts is not successfully completed, or any products are not commercially successful, we are less likely to generate significant revenues, or become profitable. The failure to perform such activities could have a material adverse effect on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intellectual property protection is inadequate, competitors may gain access to our technology and undermine our competitive position.</w:t>
      </w:r>
    </w:p>
    <w:p>
      <w:pPr>
        <w:spacing w:after="0" w:line="121"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United States. Our means of protecting any proprietary rights we may receive in the United States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27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to our intellectual property based on our international business operations.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face risks to our technology and intellectual property as a result of our conducting business outside of the United States, including as a result of our strategic agreement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Before we begin to label and market the PoNS Treatment for use in the United States, we are required to obtain marketing authorization via a de novo classification and clearance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other than Canada, where PoNS Treatment is authorized for sale as a class II, non-implantable, medical device for treatment of gait deficit due to symptoms from MS and balance deficit due to mmTBI in conjunction with physical therapy. The process of obtaining regulatory authorizations or approvals, including completion of the de novo classification process, to market a medical device can be costly and time consuming, and we may not be able to successfully obtain pre-market reviews on a timely basis, if at all.</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October 19, 2020, we announced that we received a request for additional information from the FDA related to the Company’s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89" w:lineRule="auto"/>
        <w:rPr>
          <w:sz w:val="20"/>
          <w:szCs w:val="20"/>
          <w:color w:val="auto"/>
        </w:rPr>
      </w:pPr>
      <w:r>
        <w:rPr>
          <w:rFonts w:ascii="Times New Roman" w:cs="Times New Roman" w:eastAsia="Times New Roman" w:hAnsi="Times New Roman"/>
          <w:sz w:val="17"/>
          <w:szCs w:val="17"/>
          <w:color w:val="auto"/>
        </w:rPr>
        <w:t>The FDA has substantial discretion in the de novo review process and may refuse to accept our application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FDA requires us to go through a lengthier, more rigorous examination for the PoNS device for MS or any other indication we may pursue,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de novo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Moreover, in addition to continuing our pursuit of an indication for mmTBI with FDA, we are currently considering the development of the PoNS device for other potential indications, including stroke, cerebral palsy, Parkinson’s disease, baby boomers balance, and neurological wellness, as well as expanding the label of our current indications. At this time, we do not know what pathways the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FDA marketing authorization will be costly, may result in time-consuming delays and will subject us to ongoing compliance costs and regulatory risk for non-compliance.</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Obtaining FDA marketing authorization, de novo classification and clearance, or PMA approval for medical devices can be expensive and uncertain, generally takes from several months to several years, and generally requires detailed and comprehensive scientific and clinical data. Notwithstanding the expense, these efforts may never result in FDA authorization. Even if we were to obtain regulatory authorization, it may not be for the uses we believe are important or commercially attractive, in which case we would not be permitted to market our product for those uses.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FDA can delay, limit or deny authorization of a device for many reasons, including:</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FDA’s satisfaction that our product candidate is safe and effective for its intended users;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authorization, where required;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Even if granted, a 510(k) clearance, de novo classification and clearance, or pre-market approval for any future product would likely place substantial restrictions on how our device is marketed or sold, and FDA will continue to place considerable restrictions on our products and operations. For example, the manufacture of medical devices must comply with FDA’s QSR. In addition, manufacturers must register their manufacturing facilities, list the products with FDA, and comply with requirements relating to labeling, marketing, complaint handling, adverse event and medical device reporting, reporting of corrections and removals, and import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export.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of repair, replacement, refunds, detention or seizure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marketing authorization of new products or modified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marketing authorizations that have already been granted;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provide Certificates for Foreign Government;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our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criminal prosecution.</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Additionally, the FDA and other regulatory authorities have broad enforcement powers. 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conduct clinical trials to support a future de novo submission or PMA application for the PoNS device and we expect to be required to conduct clinical trials to support regulatory marketing authorization for future product candidates.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de novo process, or is not exempt from premarket review by the FDA. In April 2019, the FDA declined our request for de novo classification and clearance for mmTBI. Following a pre-submission meeting with the FDA, we finalized our clinical protocol for a new trial, TBI-002, intended to support a request for de novo classification and clearance of the PoNS device. The launch of the TBI-002 trial has been temporarily suspended, and we are evaluating our options for funding and timing to commence the trial or potentially look at other indications.</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On May 7, 2020 we received Breakthrough Designation for the PoNS device as a potential treatment for gait deficit due to symptoms of MS, to be used as an adjunct to a supervised therapeutic exercise program. 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October 19, 2020, we announced that we received a request for additional information from the FDA related to the Company’s request for de novo classification and clearance of the PoNS device, which includes requests for additional analysis of clinical data and proposes certain labeling modifications. On January 11, 2021, we announced that we submitted our formal response to the FDA’s request for additional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2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following the FDA’s denial of our request for de novo classification and clearance for mmTBI in April 2019, we finalized our clinical protocol for TBI-002 intended to support a request for de novo classification and clearance of the PoNS device for mmTBI. 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we currently have no ongoing clinical trials, but we expect that we will need to conduct further clinical trials, including the TBI-002 trial if we continue to pursue de novo classification and clearance for mmTBI in the United States.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cannot guarantee that clinical trials will be conducted as planned or completed on schedule, if at all. A failure of one or more clinical trials can occur at any stage of testing. Delays, including, but not limited those caused by the COVID-19 pandemic,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 commercialization, which would harm our business, financial condition,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substantially dependent on third parties to conduct our clinical trials.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Since we may conduct clinical trials to obtain FDA marketing authorization, we will need to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process. Moreover, our business may be implicated if any of these third parties violates federal or state fraud and abuse or false claims laws and regulations or healthcare privacy and security laws.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suspend or discontinue clinical trials due to side effects or other safety risks that could preclude approval of our products.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284"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secure contracts with WC and third-party administrators or rehabilitation clinics who treat patients with gait deficit due to symptoms from MS or balance issues associated with mmTBI, this could have a negative impact on our intended sales and would have a material adverse effect on our business, financial condition and operating results.</w:t>
      </w:r>
    </w:p>
    <w:p>
      <w:pPr>
        <w:spacing w:after="0" w:line="6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One of our commercialization strategies includes leveraging WC payers to drive early reimbursements and entice Medicaid and commercial payers through third-party administrators and rehabilitation clinics. Should we fail in securing such contracts it could have a material adverse effect on our intended sales projections, which would affect our financial conditions and operating results. In addition, until we are successful in engaging WC payers, Medicaid and other third-party commercial payers to cover the cost of the PoNS device for their insured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customers, we expect our initial sales of the PoNS device will be via cash paid by patients. As a result, we may not be able to sell our PoNS device in commercially reasonable quantities depending on the cost of the device to cash payers.</w:t>
      </w:r>
    </w:p>
    <w:p>
      <w:pPr>
        <w:spacing w:after="0" w:line="266"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 reimbursement code from the U.S. Department of Health and Human Services so that the PoNS device is covered under Medicare and Medicaid, this could have a negative impact on our intended sales and would have a material adverse effect on our business, financial condition and operating results.</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plan to submit an application to the U.S. Department of Health and Human Services for a reimbursement code so that the PoNS device is covered under Medicare and Medicaid. However, there can be no assurance that our application will be successful, or that we will be able to obtain a reimbursement code in a timely manner. In the event that we do not obtain a reimbursement code for the PoNS device, our customers may be unable to obtain reimbursement for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 must find that the PoNS device meets their medical necessity requirements for the treatment of patients with mmTBI or they will not pay for the treatment. In addition, there is a risk that the payment amount for the PoNS device is either too low or too high to incentivize customer adoption.</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hospitals and other healthcare providers are unable to obtain coverage or adequate reimbursement for procedures performed with our products, our product will not likely be widely used.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procedures utilizing our products.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 Manufacturers will be able to opt-in to MCIT and choose a start date for coverage anytime within two years from the date of FDA market authorization. Hospitals and other healthcare providers that purchase our product for treatment of their patients generally rely on third-party payers to pay for all or part of the costs and fees associated with our products as part of a “bundled” rate for the associated procedures. The existence of coverage and adequate reimbursement for our products and the procedures performed with them by government and private payers is critical to market acceptance of our existing and future products. Neither hospitals nor physicians are likely to use our product and any future products if they do not receive adequate reimbursement for the procedures utilizing our products.</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Many private payers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used in a procedure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 face in the market and could have a material adverse effect on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Many hospitals and clinics in the United States belong to group purchasing organizations, which typically incentivize their hospital members to make a relatively large proportion of purchases from a limited number of vendors of similar products that have contracted to offer discounted prices.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healthcare industry in the United States has experienced a trend toward cost containment as government and private payers seek to control healthcare costs by paying service providers lower rates. While we believe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hospitals and other providers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hospitals could adversely affect our ability to market, sell our products, and negatively affect our financial performance.</w:t>
      </w:r>
    </w:p>
    <w:p>
      <w:pPr>
        <w:spacing w:after="0" w:line="19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do not have a product available for sale in the United States. If, however, we achieve this goal, the availability of payments from Medicare, Medicaid or other third-party payers would mean that many healthcare laws would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payers that are false or fraudulent, and which may apply to entities like us if we provide coding and billing advice to customers, or under theories of “implied certification” where the government and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relators may allege that device companies are liable where a product that was paid for by the government in whole or in part was promoted “off-label,” lacked necessary marketing authorization, or failed to comply with good manufacturing practices or other laws; (iii) transparency laws and related reporting and/or disclosures such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as the Sunshine Act; and/or (iv) state law equivalents of each of the above federal laws, such as anti-kickback and false claims laws which may apply to items or services reimbursed by any third-party payer, including commercial insurers, many of which differ from their federal counterparts in significant ways, thus complicating compliance efforts.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293"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communications regarding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United States,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291"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United States.</w:t>
      </w:r>
    </w:p>
    <w:p>
      <w:pPr>
        <w:spacing w:after="0" w:line="180"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4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76"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87"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8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refund, recall, detention or seizure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de novo clearance, PMA approval, NDA, or BLA of new products or modified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clearances or approvals that have already been granted;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5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find that the costs of carrying out our plan of operations are greater than we anticipate.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29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undertake a study to analyze and determine if any historical ownership changes of us or our subsidiary HMI have occurred to determine if there are any permanent limitations on our ability to utilize NOLs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build an effective distribution network for our product.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very few employees and we may either build internal capabilities or rely on distributors to sell our product. We cannot assure you that we will succeed in building an internal team or entering into and maintaining productive arrangements with an adequate number of distributors that are sufficiently committed to selling our products. The establishment of a distribution network is expensive and time consuming. As we launch new products and increase our marketing effort with respect to existing products, we will need to continue to hire, train, retain and motivate skilled resources with significant technical knowledge. In addition, the commissions we pay for product sales could increase over time, which would result in higher sales and marketing expenses. Furthermore, if we were to rely on distributors, the current and potential distributors may market and sell the products of our competitors. Even if the distributors market and sell our product, our competitors may be able, by offering higher commission payments or other incentives, to persuade these distributors to reduce or terminate their sales and marketing efforts related to our product. The distributors may also help competitors solicit business from our existing customers. Some of our independent distributors may likely account for a significant portion of our sales volume, and, if we were to lose them, our sales could be adversely affected. Even if we engage and maintain suitable relationships with an adequate number of distributors, they may not generate revenue as quickly as we expect them to, commit the necessary resources to effectively market and sell our products, or ultimately succeed in selling our product.</w:t>
      </w:r>
    </w:p>
    <w:p>
      <w:pPr>
        <w:spacing w:after="0" w:line="294"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Exposure to United Kingdom political developments, including the outcome of the referendum on membership in the European Union, could be costly and difficult to comply with and could seriously harm our business.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January 2020, the United Kingdom formally withdrew from the European Union, commonly referred to as “Brexit.” Brexit has created an uncertain political and economic environment in the United Kingdom and other European Union countries. The political and economic instability created by Brexit has caused and may continue to cause significant volatility in global financial markets and uncertainty regarding the regulation of data protection in the United Kingdom.</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Brexit may have a significant negative impact on medical device manufacturers such as us. A Notified Body, or NB, that we contracted with as our EU regulatory service provider is located in the UK. CE Mark issued by a UK NB is at risk due to Brexit. Medical device manufacturers such as us with products CE Marked by a UK NB may not be able to place those products on the market until Brexit issues are resolved by the European Commission and local governments. In addition, the acceptance of medical device market authorization from UK NBs by countries outside of the EU, which have traditionally accepted UK NB CE marked products, is at risk of interruption due to Brexit. The complexity of Brexit places a significant burden on UK NBs which may negatively impact their ability to provide market clearance (i.e., CE Marking) reviews and certifications in a timely manner. Delays in CE Marking and delays in the issuance of certificates could delay us from placing our PoNS device on the market outside of the UK including outside of the EU (for those countries that require quality management system certificates and CE approval prior to marketing).</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December 2018, we submitted an application for a CE Mark, which, if approved, would allow us to market the PoNS device in the European Union.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use of our product candidates in clinical trials, and through the sale of our products, we may be liable for product liability claims and we may not carry sufficient product liability insurance.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292"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recently-completed second fiscal quarter.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long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such as the material weakness we identified in October 2019, could affect the accuracy and timing of our financial reporting. Investors could lose confidence in our financial reports, and the value of our common stock may be harmed, if our internal controls over financial reporting are found not to be effective by management or by our independent registered public accounting firm.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Several people who work for us on a part-time consulting basis may be subject to conflicts of interest.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been the victim of a cyber-related crime and our controls may not be successful in avoiding further cyber-related crimes in the future.</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October 2019, we were the victim of a business email compromise fraud which resulted in our incurring a loss of approximately $0.1 million. We are working with law enforcement authorities and the banks involved in the wire transfer to pursue recovery of the $0.1 million, but at this time while law enforcement officials have identified the source of the scam, we do not know whether we will be able to recover any of the funds, and we have been advised that it may take several months before we are better able to evaluate our recovery prospects. Enhancements have been made to our controls relating to electronic payments by or for us that we believe will reduce our risk of becoming a victim of future frauds related to our payments, including by wire transfers. However, cyber-related criminal activities continue to evolve and increase in sophistication, frequency and severity. As a result, the control enhancements that have been made, and any additional enhancements that may be made in the future, to our controls may not be successful in avoiding our becoming a victim to further cyber-related crimes.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cyber-security.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(including ransomware attacks) over the Internet, attachments to emails, persons inside our 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operations, reputation, or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security breach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breaches or attacks. In October 2019, we were the victim of a business email compromise, fraud which resulted in our incurring a loss of approximately $0.1 million.</w:t>
      </w:r>
    </w:p>
    <w:p>
      <w:pPr>
        <w:spacing w:after="0" w:line="30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operate, or intend to operate, in a number of tax jurisdictions globally, including in the United States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effective tax rate may also change from year to year or vary materially from our expectations based on changes or uncertainties in the mix of activities and income allocated or earned among various jurisdictions,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particular, on December 22, 2017, the Tax Cuts &amp; Jobs Act, or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or the Section 965 Transition Tax. Certain changes established by the TCJA increased our effective tax rate in prior years, including a new income inclusion item for global intangible low-taxed income, or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 new limitation of the deduction for NOLs to 80% of current year taxable income, elimination of NOL carrybacks for NOLs arising after December 31, 2017 and the allowance of the indefinite carryforward of such NOLs, and increased bonus depreciation from 50% to 100% for certain qualified property.</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Furthermore, the Coronavirus Aid, Relief, and Economic Security Act, or the CARES Act, was enacted on March 27, 2020 in response to the outbreak of COVID-19 and its consequences. The CARES Act introduced substantial changes to the U.S. tax code, the overall impact of which on our business is uncertain. For example, among other changes, the CARES Act increased the interest expense deductibility limitations and waived certain limitations on the use of NOLs, in each case, temporarily.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July 23, 2020, final regulations were published that exempt certain income subject to a high rate of foreign tax from inclusion under GILTI for tax years beginning after December 31, 2017.</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cumulative impact of these and other changes in tax law is uncertain and our business and financial condition could be adversely affected.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impact of these changes on holders of our securities is also uncertain and could be adverse.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reverse split of our common stock effected on December 31, 2020 could decrease our total market capitalization and has increased, and may continue to increase, the volatility of our stock price.</w:t>
      </w:r>
    </w:p>
    <w:p>
      <w:pPr>
        <w:spacing w:after="0" w:line="5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At a special meeting of our stockholders on December 28, 2020, our stockholders approved a reverse split of our outstanding common stock at a ratio in the range of 1-for-5 to 1-for-35. Following such special meeting, our board of directors approved a 1-for-35 reverse split of our issued and outstanding shares of common stock.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split-adjusted basis on The Nasdaq Capital Market on January 4, 2021.</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total market capitalization of our common stock after the reverse stock split will be equal to or greater than the total market capitalization before the reverse stock split or that the per share market price of our common stock following the reverse stock split will increase in proportion to the reduction in the number of shares of common stock outstanding before the reverse stock split. Furthermore,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reverse stock split increased the Company’s authorized but unissued shares of common stock, which could negatively impact a potential investor.</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Because the number of authorized shares of the Company’s common stock was not reduced proportionately, the reverse stock split increased the Board’s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delisted from The Nasdaq Capital Market, which could seriously harm the liquidity of our stock and our ability to raise capital.</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maintaining a minimum share price, director independence and independent committee requirements, minimum stockholders’ equity, and certain corporate governance requirements. There can be no assurances that we will be able to comply with the applicable listing standards.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March 23, 2020, we received a Notice from the Staff of Nasdaq indicating that, based on the closing bid price of the common stock for the 30 consecutive business days preceding the Notice, we no longer meet Nasdaq Listing Rule 5550(a)(2) (the “Minimum Bid Price Requirement”). The Notice does not result in the immediate delisting of our common stock from The Nasdaq Capital Market. In accordance with Nasdaq Listing Rule 5810(c)(3)(A), we were provided a period of 180 calendar days in which to regain compliance. In order to regain compliance with the Minimum Bid Price Requirement, the closing bid price of our common stock must be at least $1.00 for a minimum of ten consecutive business days.</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On April 17, 2020, the Company the Second Notice for the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any extension granted by the Panel expires. On January 15, 2021, the Company received a notice from the Staff that the bid price deficiency of the Company had been cured, and that the Company was in compliance with all applicable listing standards, and so the scheduled hearing before the Panel was cancelled.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there is no guarantee that we will remain compliant with the requirements of the Nasdaq Capital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cease to be eligible to trade on The Nasdaq Capital Market:</w:t>
      </w:r>
    </w:p>
    <w:p>
      <w:pPr>
        <w:spacing w:after="0" w:line="131" w:lineRule="exact"/>
        <w:rPr>
          <w:sz w:val="20"/>
          <w:szCs w:val="20"/>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pursue trading in the United States on a less recognized or accepted market, such as the OTC Bulletin Board or the “pink sheets”;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could be less liquid and marketable, thereby reducing the ability of stockholders to purchase or sell our shares as quickly and as inexpensively as they have done historically;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deemed a “penny stock,” and transactions in our common stock would be more difficult and cumbersome;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further decline.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decline in the price of our common stock could affect our ability to raise any required working capital and adversely affect our operations.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the sale of equity securities,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on The Nasdaq Capital Market may not continue to develop or be sustained.</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spacing w:after="0" w:line="262"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Trading of our common stock could be sporadic, and the price of our common stock may be volatile; we caution you as to the highly illiquid nature of an investment in our shares.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common stock has been listed on the TSX since April 18, 2016 and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shares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any dividends and do not foresee paying dividends in the future.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284" w:lineRule="exact"/>
        <w:rPr>
          <w:sz w:val="20"/>
          <w:szCs w:val="20"/>
          <w:color w:val="auto"/>
        </w:rPr>
      </w:pPr>
    </w:p>
    <w:p>
      <w:pPr>
        <w:ind w:left="120"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are not entitled to remove directors other than by a 66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vote and only for cause;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be permitted to take actions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52"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United States Tax Cuts and Jobs Act of 2017 could adversely affect our business and financial condition.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U.S. Tax Cuts and Jobs Act, or the TCJA, significantly reforms the Code. The TCJA, among other things, contains significant changes to U.S. federal corporate income taxation, including reduction of the U.S. federal corporate income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for net operating losses arising after December 31, 2017, immediate deductions for certain new investments instead of deductions for depreciation expense over time, and creating, modifying or repealing many business deductions and credits. Federal net operating losses arising in taxable year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management will have broad discretion and flexibility in how the net proceeds from this offering are used, our management may use the net proceeds in ways with which you disagree or which may not prove effective.</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as discussed under “Use of Proceeds” in this prospectus. We have not allocated specific amounts of the net proceeds from this offering for any of the foregoing purposes.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Units in this offering, you will incur immediate and substantial dilution in the net tangible book value of your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public offering price of the Units is substantially higher than the net tangible book value per share of our common stock. Investors purchasing Units in this offering will pay a price per share of common stock that will exceed the pro forma, as adjusted book value of our tangible assets after subtracting our liabilities. As a result, investors purchasing Units in this offering will incur immediate dilution of $8.43 per share of common stock. As a result of the dilution to investors purchasing Units in this offering, investors will receive significantly less than the purchase price paid in this offering, if anything, in the event of a liquidation of our company. The final public offering price was determined through negotiations between us and the underwriter in the offering. Furthermore, if the underwriter exercises its option to purchase additional shares of common stock and/or Warrants or our previously-issued options, warrants or other rights to acquire common stock at prices below the public offering price are exercised, you will experience further dilution. See “Dilution.”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unlisted securities and there is no public market for them.</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and we do not expect a market to develop. In addition, the Warrants are not listed, and we do not intend to apply for listing of the Warrants on any securities exchange or trading system. Without an active market, the liquidity of the Warrants is limited, and investors may be unable to liquidate their investments in the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not have any value.</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Warrants will be exercisable immediately upon issuance and will expire on the five year anniversary of the original issuance date at an initial exercise price of $16.302 per share. In the event that the price of a share of our common stock does not exceed the exercise price of the Warrants during the period when the Warrants are exercisable, the Warrants may not have any value.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purchased in this offering do not entitle the holder to any rights as common stockholders until the holder exercises the Warrant for shares of our common stock.</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your Warrants purchased in this offering, such Warrants will not provide you any rights as a common stockholder, except as set forth in the Warrants. Upon exercise of your Warrants purchased in this offering, you will be entitled to exercise the rights of a common stockholder only as to matters for which the record date occurs on or after the exercise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may experience additional dilution of their investment in the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lock-up provisions described under “Underwriting”, we are generally not restricted from issuing additional securities, including shares of common stock, securities that are convertible into or exchangeable for, or that represent the right to receive, common stock or substantially similar securities. The issuance of securities may cause further dilution to our stockholders, including investors in this offering. In order to raise additional capital, such securities may be at prices that are not the same as the price per share in this offering.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including investors who purchase securities in this offering. The price per share at which we sell additional shares of our common stock or securities convertible into common stock in future transactions may be higher or lower than the price per share in this offering. The exercise of outstanding stock options or warrants and the vesting of outstanding restricted stock units may also result in further dilution of your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“should,” “could,” “anticipates,” “estimates,” “plans,” “projects,” “potential,” “continuing,” “ongoing,” “expects,” “believes,” “intends,” “targets,” “predicts,” and similar words or phrases.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included in the section entitled “Risk Factors.”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related free writing prospectus and with the understanding that our actual future results may materially differ from what we expect.</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required by law, forward-looking statements speak only as of the date they are made, and we assume no obligation to update any forward-looking statements publicly, or to update the reasons why actual results could differ materially from those anticipated in any forward-looking statements, even if new information becomes available.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40"/>
          </w:cols>
          <w:pgMar w:left="320" w:top="455" w:right="5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We estimate that the net proceeds to us from the sale of the securities offered by this prospectus in this offering will be approximately $8.5 million (or $9.8 million if the underwriter fully exercises its overallotment option) after deducting commissions and estimated offering expenses payable by us.</w:t>
      </w:r>
    </w:p>
    <w:p>
      <w:pPr>
        <w:spacing w:after="0" w:line="14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funding operations, working capital and general corporate purposes. We may use a portion of the net proceeds for the acquisitions of businesses, products, technologies or licenses that are complementary to our business, although we have no present commitments or agreements to do so.</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allocation of the net proceeds of the offering represents our estimates based upon our current plans and assumptions regarding industry and general economic conditions, our future revenues and expenditures.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may vary significantly and will depend on numerous factors, including market conditions, cash generated or used by our operations, business developments and opportunities that may arise and related rate of growth. We may find it necessary or advisable to use portions of the proceeds from this offering for other purposes.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Circumstances that may give rise to a change in the use of proceeds and the alternate purposes for which the proceeds may be used include:</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other opportunities or the need to take advantage of changes in timing of our existing activities;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or desire on our part to accelerate, increase or eliminate existing initiatives due to, among other things, changing market conditions and competitive developments; and/or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strategic opportunities present themselves (including acquisitions, joint ventures, licensing and other similar transactions).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evaluate these factors and other factors and we anticipate continuing to make such evaluations to determine if the existing allocation of resources, including the proceeds of this offering, is being optimized. Pending the application of the net proceeds as described above, we will hold the net proceeds from this offering in short-term, interest-bearing, securities.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 net proceeds of this offering, together with cash on hand, will be sufficient to fund our operations throughout the third quarter of 2021, and we believe that we will need to raise additional capital to fund our operations thereafter. Additional capital may not be available on terms favorable to us, or at all. If we raise additional funds by issuing equity securities, our stockholders may experience dilution. Debt financing, if available, may involve restrictive covenants or additional security interests in our assets. Any additional debt or equity financing that we complete may contain terms that are not favorable to us or our stockholders. If we raise additional funds through collaboration and licensing arrangements with third parties, it may be necessary to relinquish some rights to our technologies or products or grant licenses on terms that are not favorable to us. If we are unable to raise adequate funds, we may have to delay, reduce the scope of, or eliminate some or all of, our development programs or liquidate some or all of our assets.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INFORMATION AND DIVIDEND POLICY</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“HSDT” and on the TSX under the symbol “HSM.” See “Prospectus Summary—Recent Developments” in this prospectus for important information about the listing of our common stock on The Nasdaq Capital Market. The Warrants will not be traded on a national securities exchange.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January 27, 2021, the last reported sale price of our common stock as reported on (a) The Nasdaq Capital Market was US $14.82 per share and (b) the TSX was CAD$18.53 per share.</w:t>
      </w:r>
    </w:p>
    <w:p>
      <w:pPr>
        <w:spacing w:after="0" w:line="162" w:lineRule="exact"/>
        <w:rPr>
          <w:sz w:val="20"/>
          <w:szCs w:val="20"/>
          <w:color w:val="auto"/>
        </w:rPr>
      </w:pPr>
    </w:p>
    <w:p>
      <w:pPr>
        <w:ind w:left="120" w:right="940" w:firstLine="440"/>
        <w:spacing w:after="0" w:line="312" w:lineRule="auto"/>
        <w:rPr>
          <w:sz w:val="20"/>
          <w:szCs w:val="20"/>
          <w:color w:val="auto"/>
        </w:rPr>
      </w:pPr>
      <w:r>
        <w:rPr>
          <w:rFonts w:ascii="Times New Roman" w:cs="Times New Roman" w:eastAsia="Times New Roman" w:hAnsi="Times New Roman"/>
          <w:sz w:val="17"/>
          <w:szCs w:val="17"/>
          <w:color w:val="auto"/>
        </w:rPr>
        <w:t>On December 31, 2020, there were approximately 76 stockholders of record for our common stock. A substantially greater number of stockholders may be “street name” or beneficial holders, whose shares are held of record by banks, brokers and other financial institutions.</w:t>
      </w:r>
    </w:p>
    <w:p>
      <w:pPr>
        <w:spacing w:after="0" w:line="14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not historically paid cash dividends on our common stock. We intend to retain our future earnings, if any, to finance the expansion and growth of our business, and we do not expect to pay cash dividends on our capital stock in the foreseeable future. Payment of future cash dividends, if any, will be at the sole discretion of our board of directors after taking into account various factors, including our financial condition, earnings, capital requirements of our operating subsidiaries, covenants associated with any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87"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Our transfer agent is American Stock Transfer &amp; Trust Company LLC, 6201 15th Avenue, Brooklyn, New York 11219; Telephone: 800-937-5449. 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our capitalization as of September 30, 2020, as follows: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to give effect to our issuance and sale of 187,646 shares of common stock and warrants to purchase an aggregate of 93,817 shares of common stock, for an aggregate purchase price of approximately $3.4 million in the October 2020 Private Placement; and</w:t>
      </w:r>
    </w:p>
    <w:p>
      <w:pPr>
        <w:spacing w:after="0" w:line="45" w:lineRule="exact"/>
        <w:rPr>
          <w:rFonts w:ascii="Times New Roman" w:cs="Times New Roman" w:eastAsia="Times New Roman" w:hAnsi="Times New Roman"/>
          <w:sz w:val="17"/>
          <w:szCs w:val="17"/>
          <w:color w:val="auto"/>
        </w:rPr>
      </w:pPr>
    </w:p>
    <w:p>
      <w:pPr>
        <w:ind w:left="1080" w:right="1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pro forma adjustment above, and to further give effect to the sale of the securities offered hereby at a public offering price of $14.82 per Unit and the use of proceeds, as described in the section entitled “Use of Proceeds”, assuming no exercise by the underwriter of its overallotment option.</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in conjunction with “Management’s Discussion and Analysis of Financial Condition and Results of Operations” and our consolidated financial statements and related notes appearing elsewhere in this prospectus. The information provided herein has been adjusted to reflect our 1-for-35 reverse stock split that was affected after trading on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40" w:type="dxa"/>
            <w:vAlign w:val="bottom"/>
          </w:tcPr>
          <w:p>
            <w:pPr>
              <w:spacing w:after="0"/>
              <w:rPr>
                <w:sz w:val="10"/>
                <w:szCs w:val="10"/>
                <w:color w:val="auto"/>
              </w:rPr>
            </w:pPr>
          </w:p>
        </w:tc>
        <w:tc>
          <w:tcPr>
            <w:tcW w:w="130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 1,295,805,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1,483,451 and 2,131,223 shares, respectively, issued and outstanding as of September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120,257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123,501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131,982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(116,368)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(116,368)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(116,368)</w:t>
            </w:r>
          </w:p>
        </w:tc>
        <w:tc>
          <w:tcPr>
            <w:tcW w:w="0" w:type="dxa"/>
            <w:vAlign w:val="bottom"/>
          </w:tcPr>
          <w:p>
            <w:pPr>
              <w:spacing w:after="0"/>
              <w:rPr>
                <w:sz w:val="1"/>
                <w:szCs w:val="1"/>
                <w:color w:val="auto"/>
              </w:rPr>
            </w:pPr>
          </w:p>
        </w:tc>
      </w:t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3,197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6,441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14,923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1,295,805 shares of common stock outstanding as of September 30, 2020 and excludes the shares of common stock issuable upon exercise of the Warrants being offered by this prospectus and also excludes the following as of that date:</w:t>
      </w:r>
    </w:p>
    <w:p>
      <w:pPr>
        <w:spacing w:after="0" w:line="67" w:lineRule="exact"/>
        <w:rPr>
          <w:sz w:val="20"/>
          <w:szCs w:val="20"/>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112,224 shares of common stock issuable upon the exercise of stock options outstanding as of September 30, 2020, at a weighted-average exercise price of $194.68 per share;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197,232 shares of common stock issuable upon the exercise of warrants (excluding the Warrants) outstanding as of September 30, 2020, at a weighted-average exercise price of US$54.71, and 68,351 shares of common stock issuable upon the exercise of warrants outstanding as of September 30, 2020, at a weighted-average exercise price of CAD$428.75 (or US$335.28 based on the exchange rate on January 11, 2021);</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96,798 shares of common stock reserved for future issuance under our 2018 Omnibus Incentive Plan as of September 30,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164 shares of fully-vested restricted stock units granted prior to September 30, 2020;</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94,778 shares of common stock issuable upon the exercise of warrants (excluding the Warrants) issued subsequent to September 30, 2020, at a weighted average exercise price of US$15.92;</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965 restricted stock units issued subsequent to September 30, 2020;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82,762 shares issued upon the settlement of restricted stock units and the exercise of warrants subsequent to September 30, 2020.</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share and per share amounts for all periods presented in this prospectus and the registration statement of which it forms a part have been retroactively adjusted for the reverse stock split effected on December 31, 2020.</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640"/>
          </w:cols>
          <w:pgMar w:left="320" w:top="455" w:right="9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purchaser of our securities in this offering will be diluted to the extent of the difference between the price you may for each share of our common stock and the net tangible book value per share of our common stock after this offering. Net tangible book value per share prior to this offering is equal to our total tangible assets minus total liabilities, all divided by 1,295,805 shares of common stock outstanding at September 30, 2020. Our historical net tangible book value as of September 30, 2020 was approximately $1.9 million, or $1.46 per share of our common stock. As of September 30, 2020, our pro forma net tangible book value was $5.1 million, or $3.46 per share, after giving effect to the October 2020 Private Placement. The information provided in this section has been adjusted to reflect the 1-for-35 reverse stock split that was effected after trading December 31, 2020.</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our sale in this offering of 647,772 Units, at a public offering price of $14.82 per Unit, excluding shares that may be issued upon exercise of the underwriters’ overallotment option and after deducting underwriting discounts and commissions and estimated offering expenses payable by us, our pro forma as adjusted net tangible book value as of September 30, 2020 would have been approximately $13.6 million, or $6.39 per share of our common stock. This amount represents an immediate increase of net tangible book value to our existing stockholders of $2.93 per share and an immediate dilution of $8.43 per share to the new investors purchasing securities in this offering. The following table illustrates the dilution in net tangible book value per share to new investors: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Unit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14.82</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at September 30, 2020</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$1.46</w:t>
            </w:r>
          </w:p>
        </w:tc>
        <w:tc>
          <w:tcPr>
            <w:tcW w:w="46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attributable to the October 2020 Private Placement</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at September 30, 2020</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investors purchasing securities in this offering</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$2.93</w:t>
            </w:r>
          </w:p>
        </w:tc>
        <w:tc>
          <w:tcPr>
            <w:tcW w:w="4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bl>
    <w:p>
      <w:pPr>
        <w:spacing w:after="0" w:line="19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1,295,805 shares of common stock outstanding as of September 30, 2020 and excludes the shares of common stock issuable upon exercise of the Warrants being offered by this prospectus and also excludes the following as of that date:</w:t>
      </w:r>
    </w:p>
    <w:p>
      <w:pPr>
        <w:spacing w:after="0" w:line="67" w:lineRule="exact"/>
        <w:rPr>
          <w:sz w:val="20"/>
          <w:szCs w:val="20"/>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112,224 shares of common stock issuable upon the exercise of stock options outstanding as of September 30, 2020, at a weighted-average exercise price of $194.68 per share;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197,232 shares of common stock issuable upon the exercise of warrants (excluding the Warrants) outstanding as of September 30, 2020, at a weighted-average exercise price of US$54.71, and 68,351 shares of common stock issuable upon the exercise of warrants outstanding as of September 30, 2020, at a weighted-average exercise price of CAD$428.75 (or US$335.28 based on the exchange rate on January 11, 2021);</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96,798 shares of common stock reserved for future issuance under our 2018 Omnibus Incentive Plan as of September 30,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164 shares of fully-vested restricted stock units granted prior to September 30, 2020.</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94,778 shares of common stock issuable upon the exercise of warrants (excluding the Warrants) issued subsequent to September 30, 2020, at a weighted average exercise price of US$15.92;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965 restricted stock units issued subsequent to September 30, 2020;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82,762 shares issued upon the settlement of restricted stock units and the exercise of warrants subsequent to September 30, 2020.</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or warrants are converted or exercised, you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additional equity, the issuance of these shares could result in further dilution to our stockholders.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condensed consolidated financial statements and related notes and our audited consolidated financial statements and related notes included elsewhere in this prospectus. All financial information is stated in U.S. dollars unless otherwise specified.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first product, known as the PoNS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is authorized for sale in Canada as a class II, non-implantable medical device intended as a short term treatment (14 weeks) of gait deficit due to symptoms from multiple sclerosis (MS) and balance deficit due to mild-to-moderate traumatic brain injury (mmTBI) and is to be used in conjunction with physical therapy (“PoNS Treatment”).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Status Worldwide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Canadian Regulatory Status: mmTBI and MS</w:t>
      </w:r>
    </w:p>
    <w:p>
      <w:pPr>
        <w:spacing w:after="0" w:line="119"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62"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March 18, 2020, we received marketing authorization from Health Canada allowing us to commercialize the PoNS device in Canada for the treatment of gait deficit in patients with mild and moderate MS symptoms, when used in conjunction with physical therapy.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Regulatory Status: MS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40"/>
          </w:cols>
          <w:pgMar w:left="320" w:top="455" w:right="5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Breakthrough Device Designation does not change the requirements for approval of an application for a marketing authorization under section 510(k) of the Food, Drug, and Cosmetic Act.</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such as the PoNS device. The FDA’s request for additional information includes requests for additional analysis of clinical data and proposes certain labeling modifications. On January 11, 2021, we announced that we submitted our formal response to the FDA’s request for additional information.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Regulatory Status: mmTBI</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U.S. regulatory strategy initially focused on pursuing de novo classification and clearance of the PoNS device from the FDA for the treatment of balance deficit due to mmTBI.</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April 2019, we announced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Regulatory Status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December 2018, we submitted an application for a CE Mark, which, if approved, would allow us to market the PoNS device in the EU.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Australian Regulatory Status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We are currently awaiting additional feedback from TGA on our application.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Purchase Agreement and Co-Promotion Agreement</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throughout Canada. The co-promotion arrangement terminated on December 31, 2020. Also, subject to certain terms and conditions, we granted to HTC the exclusive right to provide the PoNS Treatment in the Fraser Valley and Vancouver metro regions of British Columbia, where HTC has operated a PoNS-authorized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 Commercialization Efforts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18, 2020, the Company received notification that its Canadian Class II license amendment application for the treatment of gait deficit in patients with symptoms from MS, when used in conjunction with physical therapy, was successful and received marketing authorization for PoNS from Health Canada.</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31 clinic locations as of December 31, 2020. There is a conscious shift in focus to driving patient throughput to these 31 clinics as we head into 2021. Sales performance in Canada continues to be impacted by the COVID-19 pandemic due to the space restrictions that the provincial governments have imposed as well as the risk tolerance of patients and therapists.</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collaboration with Toronto Rehabilitation Institute (part of University Health Network) we are continuing our clinical experience program, the results of which we will look to publish in 2021.</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continue to refine our go-to-market pricing model based on market feedback. Our modified pricing approach is focused on reducing the need for clinics and patients to pay large, upfront costs at the start of treatment. We have also experimented with various promotional pricing programs resulting in lower unit prices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for both PoNS system purchases and mouthpieces in order to increase access to the PoNS treatment and drive market awareness which we expect to result in an increase in the volume of units sold, which was seen in the second half of 2020 when compared to the second half of 2019. We intend to keep the promotional pricing in place at least through the first quarter of 2021.</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 is provided to our clinics across Canada to submit as part of treatment plans with reimbursement applications to the payer community. Our reimbursement strategy for mmTBI continues to focus on the auto collision insurance and workers’ compensation market as well as long-term disability cases. Our reimbursement strategy for MS is focused on commercial insurers/extended health benefits. Moreover, we are currently considering the development of the PoNS device for other potential indications, including stroke as well as label expansion for our existing indications.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89"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October 2020 Private Placement</w:t>
      </w:r>
    </w:p>
    <w:p>
      <w:pPr>
        <w:spacing w:after="0" w:line="119"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On October 26, 2020, the Company closed the October 2020 Private Placement of an aggregate of 187,646 shares of common stock and warrants to purchase an aggregate of 93,817 shares of common stock at a purchase price of $18.20 per unit, consisting of one share and a warrant to purchase</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0.50 shares of common stock, resulting in gross proceeds of approximately $3.4 million, excluding the proceeds, if any, that the Company may receive in the future from the exercise of the warrants. The Company incurred $0.2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private placement on the same terms and conditions as all other purchasers, except that they paid $18.354 per unit and their warrants have an exercise price of $16.1665 per share.</w:t>
      </w:r>
    </w:p>
    <w:p>
      <w:pPr>
        <w:spacing w:after="0" w:line="19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Nasdaq Delisting</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March 23, 2020, we received a Notice from the Staff of Nasdaq indicating that, based on the closing bid price of the common stock for the 30 consecutive business days preceding the Notice, we no longer meet the Minimum Bid Price Requirement. The Notice does not result in the immediate delisting of our common stock from Nasdaq. In accordance with Nasdaq Listing Rule 5810(c)(3)(A), we were provided a period of 180 calendar days in which to regain compliance. In order to regain compliance with the Minimum Bid Price Requirement, the closing bid price of our common stock must be at least $1.00 for a minimum of ten consecutive business days.</w:t>
      </w:r>
    </w:p>
    <w:p>
      <w:pPr>
        <w:spacing w:after="0" w:line="18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On April 17, 2020, the Company the Second Notice for the Staff of Nasdaq stating that the 180-day period to regain compliance with the Minimum Bid Price Requirement has been extended due to the global market impact caused by COVID-19. More specifically, Nasdaq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Panel. The Company timely submitted a request for a hearing before the Panel, which request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stayed any suspension or delisting action by Nasdaq at least until the hearing process concludes and any extension granted by the Panel expires.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19"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such meeting, our board of directors approved a final reverse stock split ratio of 1-for-35. The reverse stock split did not change the par value of our stock or the authorized number of common or preferred shares. All share and per share amounts for all periods presented in this prospectus and the registration statement of which it forms a part have been retroactively adjusted to reflect the reverse stock split we previously effected on January 22, 2018 and for the reverse stock split effected on December 31, 2020.</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the Nine Months Ended September 30,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 (amounts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7"/>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7"/>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68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sales, net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1,344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12,715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19,177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(7,510)</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4"/>
              </w:rPr>
              <w:t>(11,384)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(18,371)</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financial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14,033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13,921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(11,595</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(4,450</w:t>
            </w:r>
          </w:p>
        </w:tc>
        <w:tc>
          <w:tcPr>
            <w:tcW w:w="600" w:type="dxa"/>
            <w:vAlign w:val="bottom"/>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2020, we recognized revenue of $0.5 million, of which $0.4 million was generated through product sales of our PoNS device in Canada pursuant to our executed supply agreements with neuroplasticity clinics in Canada, $9 thousand was generated from fee revenue related to engaging new PoNS-authorized clinics, and $20 thousand was generated from license fee revenue related to our Co-Promotion Agreement with HTC. For the nine months ended September 30, 2019, we recognized revenue of $1.3 million, of which $1.3 million was generated through product sales of our PoNS device in Canada pursuant to our executed supply agreements with neuroplasticity clinics in Canada and</w:t>
      </w:r>
    </w:p>
    <w:p>
      <w:pPr>
        <w:spacing w:after="0" w:line="3"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$49 thousand was generated from fee revenue related to engaging new PoNS-authorized clinics. The decrease year-over-year in revenue generated through product sales of our PoNS device in Canada is primarily due to pent up demand positively impacting our product sales for the first six months of 2019, the COVID-19 pandemic negatively impacting our product sales beginning in March 2020 and, to a lesser extent, the impact of price changes, focused on reducing the need for clinics and patients to pay large, upfront costs at the start of treatment, that we began implementing in September 2019.</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Cost of product sales includes the cost to manufacture the PoNS device, royalty expense, freight charges, customs duties as well as wages and salaries of employees involved in the management of the supply chain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logistics of fulfilling our sales orders. For the nine months ended September 30, 2020, we incurred $0.2 million in our cost of sales. For the nine months ended September 30, 2019, we incurred $0.5 million in our cost of sales, which also included certain support services provided by Heuro on our behalf.</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or R&amp;D, expenses were $3.8 million for the nine months ended September 30, 2020 compared to $6.5 million for the nine months ended September 30, 2019, a decrease of $2.7 million. The decrease was attributable to a $0.9 million reduction in product development costs due to completion of the PoNS device development in 2019 and a $0.5 million reduction in wages and salaries. Medical affairs expenses also decreased by $1.0 million due to the effort in 2019 to create awareness of the PoNS device by delivery of clinical and scientific data to key opinion leaders, professional societies and practitioners. There was also a reduction of $0.3 million in professional services expenses.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Selling, general and administrative, or SG&amp;A, expenses were $7.6 million for the nine months ended September 30, 2020 compared to</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$12.7 million for the nine months ended September 30, 2019, a decrease of approximately $5.1 million. The decrease was primarily due to $1.7 million in less wages and salaries due to higher headcount in 2019 and a $1.9 million reduction in commercial operations expense as in 2019 we invested in marketing and distribution capabilities in support of our US launch prior to receiving denial for clearance from the FDA. Stock-based compensation expense also decreased by $1.4 million and legal expenses decreased by $0.5 million. These decreases were partially offset by a $0.2 million impairment loss related to intangible assets in 2020 and a $0.1 million loss as the result of the disposal of property and equipment.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nine months ended September 30, 2020, amortization expense was $0.3 million. No amortization expense was recorded during the nine months ended September 30, 2019.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Financial Instruments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change in fair value of derivative financial instruments was a gain of $4 thousand for the nine months ended September 30, 2020 compared to a gain of $14.0 million for the nine months ended September 30, 2019.</w:t>
      </w:r>
    </w:p>
    <w:p>
      <w:pPr>
        <w:spacing w:after="0" w:line="162"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Foreign exchange loss was $0.3 million for the nine months ended September 30, 2020, compared to a loss of $0.1 million for the nine months ended September 30, 2019. This was primarily due to fluctuations in the foreign exchange rate as it relates to the amount of Canadian dollars held at the end of each reporting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Compared to Year Ended December 31, 2018</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2019 and 2018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7"/>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1,454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8,061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9,939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24,646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27,153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(2,507)</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(23,996)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(26,675)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financial instruments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16,163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(9,781</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(28,623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18,842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recognized revenue of $1.5 million, of which $1.46 million was generated through product sales of our PoNS device in Canada pursuant to our executed supply agreements with neuroplasticity clinics in Canada, $37 thousand was generated in fee revenue from franchise agreements Heuro executed with neuroplasticity clinics engaging in providing the PoNS Treatment and $5 thousand was generated from license fee revenue related to or co-promotion agreement with HTC. For the year ended December 31, 2018, we recognized license fee revenue of $0.5 million under an exclusive strategic alliance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we incurred $0.8 million in our costs of sales. This included the costs to manufacture the PoNS device, royalty expense, freight charges, customs duties as well as wages and salaries of employees involved in the management of the supply chain and logistics of fulfilling our sales orders. Prior to the completion of the Heuro acquisition on October 30, 2019, it also included certain support services provided by Heuro on our behalf. We had no cost of sales for the year ended December 31, 2018.</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or R&amp;D, expenses were $8.1 million for the year ended December 31, 2019, compared to $9.9 million for the year ended December 31, 2018, a decrease of approximately $1.9 million. The decrease was primarily driven by a $3.3 million reduction in product development costs due to the completion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PoNS device development and transfer to the scale manufacturer and a $0.4 million decrease in regulatory consulting expenses as that work was performed in-house during 2019. These decreases were partially offset by a $1.1 million increase in medical affairs expenses related to our medical science liaison’s efforts in the delivery of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also increased by $0.9 million due to increased regulatory and quality management headcount to support our Canadian launch.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or G&amp;A, expenses were $16.5 million for the year ended December 31, 2019, compared to $17.2 million for the year ended December 31, 2018, a decrease of $0.7 million. The decrease was primarily due to lower stock-based compensation expense of $3.4 million, which was mainly the result of the change in our functional currency. During the second quarter of 2018, all of our outstanding stock options were revalued due to the liability classification of our stock options as a result of a change in our functional currency in April 2018 as the exercise price of our stock options were denominated in a currency other than our functional currency. Consulting fees decreased $1.0 million. These decreases were partially offset by higher commercial operations expenses of $1.8 million as we invested in reimbursement, marketing and distribution capabilities in support of our US launch prior to receiving denial for clearance from the FDA, as well as an increase in wages and salaries of $0.9 million to support our commercial launch, and an additional increase of $0.6 million in severance expense. Bad debt expense increased $0.2 million due to customer collectability exposure associated with us generating product sales for the first time in 2019.</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Financial Instruments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change in fair value of derivative financial instruments was a gain of $14.1 million for the year ended December 31, 2019, compared to a loss of $3.6 million for the year ended December 31, 2018.</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change in fair value of derivative financial instruments was primarily attributable a change in our stock price, volatility and the number of derivative financial instruments being measured during the period (see Note 3 to our audited consolidated financial statements included elsewhere in this prospectus). The change in the fair value of derivative financial instruments is a non-cash item.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Foreign exchange gain was $7 thousand for the year ended December 31, 2019, compared to a gain of $1.6 million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2018. This was primarily due to fluctuations in the foreign exchange rate as it relates to the amount of Canadian dollars held at the end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reporting period.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Nine Months Ended September 30, 2019</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2020 and 2019 (amounts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9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$(9,567)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$(16,460)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3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$(2,779)</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236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2020 was $9.6 million. This was comprised of a loss from operations of $11.6 million and $1.0 million net cash used resulting from changes in operating assets and liabilities, partially offset by certain adjustments for non-cash items of $3.0 million comprised mainly of stock-based compensation of $2.0 million, unrealized foreign exchange losses of $0.2 million, depreciation and amortization of $0.4 million, impairment loss on intangible assets of $0.2 million, provision for doubtful accounts of $0.2 million, loss on disposal of office furniture of $0.1 million and gain on lease modification of $0.1 million.</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2019 was $16.5 million. This was comprised of a loss from operations of $18.4 million and $1.6 million net cash used resulting from changes in operating assets and liabilities, partially offset by certain adjustments for non-cash items comprised of stock-based compensation of $3.3 million and unrealized foreign exchange losses of $0.2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2020 was $40 thousand, which was primarily related to the sale of office furniture, offset partially by the purchase of equipment.</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2019 was $0.3 million, which was primarily related to the purchase of computer software, furniture and fixtures for our office.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2020 was $6.7 million, which consisted of proceeds from the issuance of common stock from the 2020 ATM and March 2020 Offering, net of share issuance costs.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2019 was $0.2 million, which consisted primarily of proceeds from the exercise of our April 2016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Compared to the Year Ended December 31, 2018</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2019 and 2018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(20,999)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(19,621)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(38,375)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(20,124)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(40,145)</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2019 was $21.0 million. This was comprised of a net loss of $9.8 million, the change in the fair value of our derivative liabilities of $14.1 million and $2.2 million net cash used resulting from changes in operating assets and liabilities, partially offset by certain adjustments for non-cash items comprised of stock-based compensation expense of $4.7 million, depreciation and amortization of $0.2 million, bad debt expense of $0.2 million and unrealized foreign exchange loss of $0.1 million.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60"/>
          </w:cols>
          <w:pgMar w:left="320" w:top="455"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2018 was $19.6 million. This was comprised of a net loss of $28.6 million, adjusted for non-cash items including the change in the fair value of our derivative liabilities of $3.6 million, stock-based compensation expense of $8.1 million, which amounts were partially offset by unrealized foreign exchange gain of $1.7 million and changes in operating assets and liabilities of $1.0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2019 was $0.8 million, which was primarily comprised of $0.4 million for the acquisition of Heuro, and $0.3 million for property and equipment consisting of $0.1 million for computer equipment, $0.1 million for furniture and fixtures at our headquarters location and $0.1 million for equipment that will be used in the commercial production of the PoNS device. Net cash used in investing activities for the year ended December 31, 2018 was $0.4 million, which was primarily comprised of $0.2 million for furniture and fixtures at our headquarters location and a $0.2 million laser marking equipment that will be used in the commercial production of the PoNS device.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2019 was $1.7 million, which was primarily comprised of $1.7 million in gross proceeds received from the November 2019 public offering from the sale of 137,571 shares of our common stock and $0.2 million in proceeds from the exercise of stock options and warrants. These proceeds were partially offset by $0.2 million in issuance costs primarily related to our public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2018 was $40.0 million, which was primarily comprised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$38.5 million received from offerings of our common stock and warrants. In April 2018, we received approximately $18.4 million in gross proceeds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a public offering from the sale of 70,376 shares of our common stock and accompanying warrants. In November 2018, we received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 million in a public offering from the sale of 69,696 shares of our common stock. For the year ended December 31, 2018, we also received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$4.7 million in proceeds from the exercise of stock options and warrants. These proceeds were partially offset by $3.2 million in issuance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primarily related to our public offering.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September 30, 2020, we raised approximately $103.2 million in gross proceeds from various public and private offerings of our common stock as well as the exercise of stock options and warrants. As described below, on October 26, 2020, we closed the October 2020 Private Placement of shares of common stock and warrants for total gross proceeds of approximately $3.4 million.</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working capital (which we define as current assets less current liabilities excluding derivative financial instruments) as of September 30, 2020 and December 31, 2019 (amounts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62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40" w:type="dxa"/>
            <w:vAlign w:val="bottom"/>
            <w:shd w:val="clear" w:color="auto" w:fill="CCEEFF"/>
          </w:tcPr>
          <w:p>
            <w:pPr>
              <w:spacing w:after="0"/>
              <w:rPr>
                <w:sz w:val="18"/>
                <w:szCs w:val="18"/>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30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3,444</w:t>
            </w:r>
          </w:p>
        </w:tc>
      </w:tr>
      <w:tr>
        <w:trPr>
          <w:trHeight w:val="346"/>
        </w:trPr>
        <w:tc>
          <w:tcPr>
            <w:tcW w:w="2620" w:type="dxa"/>
            <w:vAlign w:val="bottom"/>
          </w:tcPr>
          <w:p>
            <w:pPr>
              <w:spacing w:after="0"/>
              <w:rPr>
                <w:sz w:val="24"/>
                <w:szCs w:val="24"/>
                <w:color w:val="auto"/>
              </w:rPr>
            </w:pPr>
          </w:p>
        </w:tc>
        <w:tc>
          <w:tcPr>
            <w:tcW w:w="31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currently have limited working capital and liquid assets. Our cash as of September 30, 2020 was approximately $2.7 million. As noted above, subsequent to the date of our latest balance sheet, on October 26, 2020, we closed the October 2020 Private Placement of an aggregate of 187,646 shares of common stock and warrants to purchase an aggregate of 93,817 shares of common stock at purchase price of $18.20 per unit ($18.354 per unit for certain participating affiliates), consisting of one share and a warrant to purchase 0.50 shares of common stock, resulting in net proceeds of approximately $3.2 million after deducting placement agents fees and estimated expenses and excluding the proceeds, if any, that we may receive in the future from the exercise of the warrants. The warrants have an initial exercise price of $15.82 per share ($16.1665 per share for certain participating affiliates) and are exercisable for three years from the date of issuance. The Company also issued warrants to the placement agent to purchase 961 shares of common stock, with an exercise price of $19.775 per share.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including the net proceeds from the October 2020 Private Placement, will be sufficient to fund our operations throughout most of the first quarter of 2021. We have based this estimate on assumptions that may prove to be wrong, and we could exhaust our available capital resources sooner than we expect.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9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ability to raise additional capital may be adversely impacted by global economic conditions and the recent disruptions to, and volatility in, the credit and financial markets in the United States and worldwide resulting from the ongoing COVID-19 pandemic.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September 2018, we entered into an exclusive strategic alliance agreement with HTC and Heuro. Under the terms of the agreement, the parties developed a clinic system to facilitate the commercialization of the PoNS Treatment in Canada. Prior to October 30, 2019, the arrangement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 This agreement was amended as a result of the acquisition of Heuro on October 30, 2019. Refer to Note 2 to our audited consolidated financial statements and related notes included elsewhere in this prospectus for more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best of management’s knowledge, there are no off-balance sheet arrangements that have, or are reasonably likely to have, a current or future effect on our results of operations or financial condition other than that described above and in Note 8 to our audited consolidated financial statements and related notes included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goodwill and other intangible assets.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we recognize revenue when our customer obtains control of promised goods or services, in an amount that reflects the consideration which we expect to be entitled in exchange for those goods or services, in an amount that reflects the consideration which we expect to be entitled in exchange for those goods or services. To determine revenue recognition for arrangements that we determine are within the scope of ASC 606, we perform the following five steps:</w:t>
      </w:r>
    </w:p>
    <w:p>
      <w:pPr>
        <w:spacing w:after="0" w:line="87"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apply the five-step model to contracts when we determine that it is probable we will collect substantially all of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after consideration of variability and constraints, if any, that is allocated to the respective performance obligation when the performance obligation is satisfied.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Prior to the fourth quarter of 2018, we had not generated revenue. During the fourth quarter of 2018, as part of our exclusive strategic alliance agreement, we transferred a license to Heuro in order for it to develop the clinic systems to facilitate the commercialization of the PoNS Treatment in Canada. The license was a functional license as it had stand-alone functionality. As such, we recognized revenue once control transferred, which occurred in the fourth quarter of 2018 when regulatory approval of the PoNS device in Canada was obtained and the commercialization of the product, as defined within the agreement, began. The agreement provided to pay us CAD$750 thousand in three annual payments of CAD$250 thousand beginning December 31, 2019,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consideration for the exclusivity right we granted to Heuro. We considered this to be a significant financing component and as such, the amount reflected in our consolidated statements of operations and comprehensive loss was discounted. The discount rate utilized to measure revenue and the related receivable was determined based on the rate that would be reflected in a separate financing transaction with the customer. During the fourth quarter of 2018, we recognized revenues of $0.5 million in license fees when we satisfied our performance obligation. As described in Note 2 to the consolidated financial statements, we modified our arrangement with HTC on October 30, 2019. License revenue will be recognized ratably over the ten year term as the performance obligation is met in connection with the Co-Promotion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During the first half of 2019, product sales were derived from the sale of the PoNS device and certain support services including services from the use of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which is owned by HTC and assesses electroencephalogram brain waves related to cognition of patients participating in the PoNS Treatment at neuroplasticity clinics in Canada. We acted in an agency capacity for services performed using the NeuroCatch device and remitted CAD$600 for each patient assessed with the NeuroCatch device. According to the supply agreement with each of these clinics, our performance obligation was met when we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our arrangement with HTC and Heuro, we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we recorded $1.5 million in product sales net of $11 thousand for HTC’s portion related to assessments using the NeuroCatch device. For the nine months ended September 30, 2020, the Company recorded $0.4 million in product sales. As described in Note 2 to the consolidated financial statements, we modified our arrangement with HTC on October 30, 2019. As of December 31, 2019, the control of the 55 PoNS devices included as consideration in the Heuro acquisition had not been transferred resulting in the fair value of the devices being recorded as deferred revenue of $0.4 million on the consolidated balance sheet. As of September 30, 2020, the control of 11 devices had been transferred resulting in recognition of revenue for these devices. The fair value of the remaining 44 devices is still recorded as deferred revenue on the condensed consolidated balance sheet. Revenue will be recognized for these devices as control is transferred. The only returns during 2019 and during the nine months ended September 30, 2020 were the result of warranty returns for defective products. These returns were insignificant and any future replacements are expected to be insignificant.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Fee Revenue</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During the first half of 2019, our agreement with HTC and Heuro also entitled us to 50% of the franchise fees collected by Heuro from each franchise agreement Heuro executed with neuroplasticity clinics engaged in providing the PoNS Treatment. For the year ended December 31, 2019, we recognized $37 thousand as our 50% portion of the franchise fees. During the nine months ended September 30, 2020, the Company recognized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$9 thousand of fee revenue related to engaging new neuroplasticity clinics to provide the PoNS Treatment. During the nine months ended September 30, 2019, the Company recognized $49 thousand of fee revenue associated with the Company’s agreement with HTC and Heuro that entitled the Company to 50% of the franchise fees collected by Heuro from each executed franchise agreement. As of September 30, 2020 and December 31, 2019, the Company had no contract assets or liabilities on its condensed consolidated balance sheets related to the supply agreements with each clinic.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account for all stock-based payments and awards under the fair value-based method. We recognize our stock-based compensation expense using the straight-line method.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account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Stock options granted to employees are accounted for as liabilities when they contain conditions or other features that are indexed to other than a market, performance or service conditions.</w:t>
      </w:r>
    </w:p>
    <w:p>
      <w:pPr>
        <w:spacing w:after="0" w:line="1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Stock-based payments to non-employees are measured based on the fair value of the equity instrument issued. Compensation expense for non-employee stock awards are recognized over the requisite service period following the measurement of the fair value on the grant date over the vesting period of the award.</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evaluate our financial instruments and other contracts to determine if those contracts or embedded components of those contracts qualify as derivatives to be separately accounted for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result of this accounting treatment is that the fair value of the embedded derivative is marked-to-market at each balance sheet date and recorded as a liability and the change in fair value is recorded in the consolidated statements of operations and comprehensive loss. Upon conversion or exercise of a derivative financial instrument, the instrument is marked to fair value at the conversion date and then that fair value is reclassified to equity.</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classification of derivative financial instruments, including whether such instruments should be recorded as a liability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or non-current based on whether or not the right to exercise or settle the derivative financial instrument lies with the holder.</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use the Black-Scholes option-pricing model to value derivative financial instrument liabilities. This model uses Level 3 inputs in the fair value hierarchy established by ASC 820—</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values underlying net assets acquired in an acquisition. All of our goodwill as of December 31, 2019 is the result of the Heuro acquisition. Goodwill is not amortized, but rather will be tested annually for impairment or more frequently if events or changes in circumstances indicate that the carrying amount of the asset may not be recoverable. We will test goodwill for impairment annually in the fourth quarter of each year using data as of October 1 of that year.</w:t>
      </w:r>
    </w:p>
    <w:p>
      <w:pPr>
        <w:spacing w:after="0" w:line="180"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Goodwill is allocated to, and evaluated for impairment at our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We may elect not to perform the qualitative assessment for our reporting unit and perform the quantitative impairment test. The quantitative goodwill impairment test requires us to compare the carrying value of the reporting unit’s net assets to the estimated fair value of the reporting unit.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Definite-lived intangibles consist principally of acquired customer relationships and proprietary software as well as internally developed software. All are amortized straight-line over their estimated useful lives. We review long-lived assets, including definite-lived intangible assets subject to amortization, for impairment whenever events or changes in circumstances indicate that the carrying value of the asset may not be recoverable. Recoverability is assessed for the carrying value of assets held for use based on a review of undiscounted projected cash flows. Impairment losses, where identified, are measured as the excess of the carrying value of the long-lived asset over its estimated fair value as determined by discounted projected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“Summary of Significant Accounting Policies” to our interim unaudited condensed consolidated financial statements included elsewhere in this prospectus is incorporated herein by reference.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 Our status as an “emerging growth company” ended on December 31, 2020.</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first product, known as the Portable Neuromodulation Stimulator, or PoNS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(“PoNS”), is authorized for sale in Canada as a class II,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non-implantable medical device intended as a short term treatment (14 weeks) of gait deficit due to symptoms from multiple sclerosis (“MS”)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deficit due to mild-to-moderate traumatic brain injury (“mmTBI”) and is to be used in conjunction with physical therapy, or PoNS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Treatment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It is an investigational medical device in the United States, the European Union (“EU”), and Australia (“AUS”). The device is currently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under review for de novo classification and clearance by the U.S. Food and Drug Administration (the “FDA”) as a potential treatment for gait deficit due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symptoms of MS. It is also under premarket review by the AUS Therapeutic Goods Administration. PoNS Treatment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not currently commercially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available in the United States, the European Union or Australia.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PoNS Device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PoNS device is a non-implantable investigational medical device comprised of a controller and a mouthpiece that are connected by a cord. The controller is worn around the neck and the mouthpiece sits on the tongue during treatment. PoNS Treatment, or the “Treatment”, utilizes the PoNS device in conjunction with targeted physical and / or cognitive therapy. The therapy consists of condition specific exercises for movement control, balance and gait training, and breathing and awareness training that are designed to focus on the individual patient’s functional deficits. The Treatment is 14 weeks and is delivered through authorized PoNS treatment clinics by certified PoNS trainers, with the first 2 weeks in a clinic. The remaining 12 weeks are completed at home with weekly clinic visits to monitor progress, assess improvements and ensure the therapy level is still appropriate. When the device is on, the 143 gold-plated electrodes on the mouthpiece send mild electrical signals to the tongue. These impulses stimulate nerves in the tongue that have direct pathways to the brain, through the brain stem. The combination of mild stimulation with therapeutic activities may enhance the neuroplastic effect, potentially resulting in functional improvements in balance and gait. During each clinic visit and at the end of the 14-week Treatment, the clinic downloads the PoNS usage data from the device and reviews it with the patient. This usage data in combination with the detail of the completed assessments gives the clinician and the patient a unique and powerful method to assess treatment progress. The patient re-initiates their Treatment sessions under the supervision of the clinicians through regular check ins.</w:t>
      </w:r>
    </w:p>
    <w:p>
      <w:pPr>
        <w:spacing w:after="0" w:line="19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Clinical research has shown that translingual neurostimulation activates two major cranial nerves –the trigeminal nerve, and the facial nerve, which creates a flow of neural impulses that are delivered directly into the brain stem and cerebellum – the main control centers for multiple life functions including sensory perception and movement. From the brain stem, these impulses travel throughout the brain and activate or reactivate neurons and structures involved in human function. Researchers believe that targeted physical therapy with neurostimulation can initiate changes in the brain, supporting the rebuilding and reorganizing (neuroplasticity) of multiple areas of the brain.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Design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131445</wp:posOffset>
            </wp:positionV>
            <wp:extent cx="1337310" cy="1174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731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Figure 1</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Portable Neuromodulation Stimulator, PoNS device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mouthpiece of the PoNS device sits on the front third of the tongue and is held in place by the lips and closed mouth. 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171450</wp:posOffset>
            </wp:positionV>
            <wp:extent cx="3231515" cy="2322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151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Figure 2</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Multiple Sclerosis and Current Available Treatments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Multiple Sclerosis, or 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Findings from a National MS Society study estimate that nearly 1 million people in the United States are living with MS and 93,000 in Canada. The National MS Society estimates that 2.3 million people live with MS globally. The United States and Canada have the highest rates of MS, with 309 cases per 100,000 in the United States, and 291 cases per 100,000 in Canada, respectively. Given the nature of this neurodegenerative disease, these individuals and their caretakers are active in exploring treatment options that may resolve or delay the progression of symptoms. There is also a well-established advocacy framework.</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 2016 economic analysis of MS found the total lifetime costs per person with MS to be $4.1 million, with average yearly healthcare costs ranging from $30 thousand to $100 thousand based on the severity of the disease. Since the exact cause of MS is still unknown, there is no known prevention. Although there is no cure for MS yet, treatments can manage symptoms. MS medications are designed to lessen the frequency of relapses and slow the progression of the disease, but none have proven to halt progression of the disease.</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While there are several disease-modifying medications approved by the U.S. Food and Drug Administration to treat MS, only one drug approved by FDA and Heath Canada, 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(dalfampridine), is indicated for the improvement of gait speed in patients with MS, which offers the closest comparison to the effects of PoNS Treatment on improvement in gait.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mmTBI and Current Available Treatments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an estimated 14.5 million people globally, with over 1.5 million in the United States and 350,000 in Canada, living with balance deficit due to mmTBI. Every year in Canada and the United States there are approximately 20,000 and 420,000 newly diagnosed mmTBIs, respectively, resulting in balance deficit. This condition often has a significant impact on one’s quality of life, negatively affecting independence, employability, productivity, mental health and participation in the community. Rehabilitation is often required following a mmTBI for resulting motor, cognitive and behavioral impairments. The current standard of care to address balance issues following a mmTBI is physical therapy. While physical therapy can help to promote balance recovery, individuals are often unable to return to their full function and are left living with a balance deficit.</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Prior to the development of the PoNS device, there were no treatments available that were clinically proven and indicated to treat long-term balance deficit. A few studies have suggested that physical therapy aimed at improving balance and gait may be mildly effective for rehabilitation in the mmTBI population. However, to our knowledge, no mid-to-late stage clinical studies have reported improvements in function of the magnitude that would be considered evidence of systematic recovery of normal function, nor have any studies proven that physical therapy alone has a lasting effect on balance and gait.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physical therapy alone for the treatment of balance deficit following mmTBI. Consequently, we believe that there is a large potential commercial opportunity for the PoNS Treatment in the treatment of balance deficit due to mmTBI. Our goal is to establish the PoNS Treatment as the standard of care for this condition all over the world.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5"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PoNS Clinical Trials and Scientific Support in MS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two peer reviewed published clinical trials reporting on the results of clinical trials comparing active PoNS + PT vs Placebo PoNS + PT in subjects with mild and moderate MS. (</w:t>
      </w:r>
      <w:r>
        <w:rPr>
          <w:rFonts w:ascii="Times New Roman" w:cs="Times New Roman" w:eastAsia="Times New Roman" w:hAnsi="Times New Roman"/>
          <w:sz w:val="18"/>
          <w:szCs w:val="18"/>
          <w:i w:val="1"/>
          <w:iCs w:val="1"/>
          <w:color w:val="auto"/>
        </w:rPr>
        <w:t>Tyler et al. Journal of NeuroEngineering and Rehabilitation 2014, 11:79 and Leonard et al. Multiple Sclerosis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 Experimental, Translational and Clinical January-March 2017: 19 DOI: 10.1177/ 2055217317690561)</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results of the Tyler study in 20 patients with mild and moderate MS:</w:t>
      </w:r>
    </w:p>
    <w:p>
      <w:pPr>
        <w:spacing w:after="0" w:line="131" w:lineRule="exact"/>
        <w:rPr>
          <w:sz w:val="20"/>
          <w:szCs w:val="20"/>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comparison of the Dynamic Gait Index (DGI), a measure of the ability to walk, after 14 weeks of treatment of 10 subjects treated with active PoNS + PT Vs 10 subjects treated with placebo PoNS + PT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showed a statistically significant change (p&lt;0.005) in favor of the Active PoNS group.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results from the Leonard study in 14 patients treated with mild and moderate MS:</w:t>
      </w:r>
    </w:p>
    <w:p>
      <w:pPr>
        <w:spacing w:after="0" w:line="131" w:lineRule="exact"/>
        <w:rPr>
          <w:sz w:val="20"/>
          <w:szCs w:val="20"/>
          <w:color w:val="auto"/>
        </w:rPr>
      </w:pPr>
    </w:p>
    <w:p>
      <w:pPr>
        <w:ind w:left="1080" w:right="6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14 there was a statistically significant improvement p=0.001 in the Sensory Organization Test (SOT), a test of subject’s ability to balance, versus baseline for the 7 subjects in the active PoNS treated group and non-significant change in the 7 subjects in placebo PoNS treated group vs baseline.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of Real-World Evidence in MS patients treated with PoNS in Canada.</w:t>
      </w:r>
    </w:p>
    <w:p>
      <w:pPr>
        <w:spacing w:after="0" w:line="131" w:lineRule="exact"/>
        <w:rPr>
          <w:sz w:val="20"/>
          <w:szCs w:val="20"/>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outcomes for patients treated in Canada are captured in the company developed validated data capture system. 39 patients with MS were treated with PoNS in Canada between March 2019 and September 2019.</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all available data from the treated MS patients, the mean improvement from baseline to Week 14 in the FGA (functional gait assessment) was 4.53 (95% CI 3.35 to 5.72). Based on observed data, the median improvement was 5 points.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 had an improvement at Week 14 greater than or equal to 4 points, the minimum detectable change. This finding is remarkable given that the RWE data set consisted of patients with chronic MS with long durations of disease.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excellent safety profile, these data support a positive benefit risk ratio in the real-world setting.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PoNS Clinical Trials and Scientific Support in mmTBI</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PoNS Registrational Clinical Trial in mmTBI</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completed our registrational clinical trial of the PoNS Treatment for persons with mmTBI in 2017. It was a double-blind randomized, controlled study of the safety and effectiveness of the PoNS Treatment using translingual noninvasive stimulation in participants with balance deficit due to mmTBI.</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trial was launched in 2015 in conjunction with the U.S. Army Medical Research and Materiel Command, or the USAMRMC, and was conducted at seven sites in the United States and Canada. The trial evaluated 122 randomized participants between the ages of 18 and 65 years. Each participant received five weeks of treatment, two weeks in clinic and three weeks at home. The treatment consisted of standardized targeted physical therapy geared toward the functional capability of each individual participant. Enrolled participants worked with a certified PoNS trainer and were randomized to receive either a high-frequency pulse, or HFP, (25.7 million pulses per 20-minute treatment) or a low-frequency pulse, or LFP, (13,728 pulses per 20-minute treatment) PoNS device. While the HFP and the LFP devices were identical, the frequency of the pulses was different.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Trial Design</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All participants provided a prior neuroradiologic report (obtained at least one year after the most recent mmTBI), if available, and completed demographic and quality of life surveys and a medical history during 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initial screening visit. Participants who met the initial screening entrance criteria were scheduled for an MRI of the head, a neuropsychiatric evaluation, the NeuroCom Sensory Organization Test, or SOT, to evaluate balance, and a 20-minute walk on the treadmill to evaluate fitness. Key eligibility criteria to participate in the study included the following:</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Male or female, 18 to 65 years of 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1-year post most recent mmTBI at the time of screening.</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participated in a focused physical rehabilitation program for mmTBI and had been deemed by the treating clinician to have reached a plateau.</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balance disorder SOT composite score of at least 16 points below the normative value for the participant’s age.</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Stable neurologic status, as determined from the participant’s medical records and the trial physician’s opinion based on no new or changing symptoms.</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Participants meeting all the eligibility criteria, and who were not disqualified by exclusion criteria applicable to the trial, were enrolled and randomly assigned in blocks of four to receive an HFP or LFP device. Randomization occurred at each site, according to the randomization plan developed by the clinical research organization. An objective balance assessment was performed using the composite score from the SOT, which measures balance using computerized sensors that objectively measure participants’ ability to maintain balance under six different conditions. The SOT is a widely used measurement tool for balance disorder associated with TBI and was used as the primary efficacy endpoint for the trial. According to published clinical trial data, patients that received physical therapy alone to treat balance deficit related to mmTBI improved by an average of ten to 13 points on the SOT scale, a 0 to 100 scale, and clinical experience shows those patients tend to drift back to baseline levels when physical therapy is discontinued. On average, participants entered the trial with an SOT composite score of approximately 40, which is a score that indicates substantially compromised functional balance. In the trial, an SOT responder was defined as a participant with an improvement of at least 15 points in his/her SOT composite score from baseline to the end of five weeks of PoNS Treatment, a level of change that to our knowledge, has not been achieved in clinical trials of patients with mmTBI-related balance disorder undergoing standard of care physical therapy.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Trial Results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trial’s statistical analysis plan stated that, if the outcome of the primary effectiveness endpoint showed that PoNS Treatment in the HFP and LFP arms both produced responses of greater than 15 points on the SOT composite score that were not significantly different from one another, the secondary endpoint would be calculated by combining the two groups and comparing the response to baseline at week two and week five. This would imply that both devices had a clinical effect.</w:t>
      </w:r>
    </w:p>
    <w:p>
      <w:pPr>
        <w:spacing w:after="0" w:line="72"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primary effectiveness endpoint demonstrated a trend toward a higher responder rate in the HFP arm (with 71.2% of subjects experiencing a greater than 15 point improvement on the SOT composite score) than in the LFP arm (with 63.5% of subjects experiencing a greater than 15 point improvement on the SOT composite score), p&lt;0.081. The primary effectiveness endpoint was not reached because of the significant therapeutic effect observed in the LFP arm. Because both arms produced responses of greater than 15 points on the SOT composite score that were not significantly different from one another, the secondary effectiveness endpoint was calculated per the statistical analysis plan, as described above. The secondary effectiveness endpoints demonstrated statistically and clinically significant increases in SOT composite scores:</w:t>
      </w:r>
    </w:p>
    <w:p>
      <w:pPr>
        <w:spacing w:after="0" w:line="93" w:lineRule="exact"/>
        <w:rPr>
          <w:sz w:val="20"/>
          <w:szCs w:val="20"/>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improvement at two weeks for the pooled arms was 18.3 points, P&lt;0.0005.</w:t>
      </w:r>
    </w:p>
    <w:p>
      <w:pPr>
        <w:spacing w:after="0" w:line="130" w:lineRule="exact"/>
        <w:rPr>
          <w:rFonts w:ascii="Times New Roman" w:cs="Times New Roman" w:eastAsia="Times New Roman" w:hAnsi="Times New Roman"/>
          <w:sz w:val="18"/>
          <w:szCs w:val="18"/>
          <w:color w:val="auto"/>
        </w:rPr>
      </w:pPr>
    </w:p>
    <w:p>
      <w:pPr>
        <w:ind w:left="5540" w:right="3380" w:hanging="4331"/>
        <w:spacing w:after="0" w:line="454" w:lineRule="auto"/>
        <w:tabs>
          <w:tab w:leader="none" w:pos="15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 improvement at five weeks for the pooled arms was 24.6 points, P&lt;0.0005. 64</w:t>
      </w:r>
    </w:p>
    <w:p>
      <w:pPr>
        <w:sectPr>
          <w:pgSz w:w="11900" w:h="16838" w:orient="portrait"/>
          <w:cols w:equalWidth="0" w:num="1">
            <w:col w:w="11080"/>
          </w:cols>
          <w:pgMar w:left="320" w:top="455"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Since the majority of patients who have a balance disorder associated with mmTBI are subjected to a higher risk of falls and headaches, the primary safety endpoint was an improvement in the frequency of falls as determined by daily event recording on the participant data case report form during the in-clinic phase of the study (week two). The secondary safety endpoint was the frequency and severity of headaches, as measured by the Headache Disability Index at baseline and at the end of treatment, which was at week five.</w:t>
      </w:r>
    </w:p>
    <w:p>
      <w:pPr>
        <w:spacing w:after="0" w:line="85" w:lineRule="exact"/>
        <w:rPr>
          <w:sz w:val="20"/>
          <w:szCs w:val="20"/>
          <w:color w:val="auto"/>
        </w:rPr>
      </w:pPr>
    </w:p>
    <w:p>
      <w:pPr>
        <w:ind w:left="1540" w:right="56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met the primary and secondary safety endpoints as measured by a decrease in falls at week two a decrease in headaches at week five, respectively, in both treatment groups.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serious device related adverse events.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PoNS Long-Term Treatment Trial in mmTBI: A 26-Week Study</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study was performed to understand the durability of response to the PoNS Treatment. This double-blind randomized controlled study in patients with mmTBI was completed in 2017 at the Tactile Communication Neurorehabilitation Laboratory at the University of Wisconsin-Madison and was sponsored by the U.S. Army. The study was conducted with 22 and 21 participants randomized to the HFP and LFP PoNS Treatment arms, respectively. Participants underwent 14 weeks of active treatment identical in format to the treatment regime in our registrational clinical trial described above, followed by a 12-week washout period when participants discontinued the PoNS Treatment and were told to resume normal daily lifestyles with no specified physical therapy regime. SOT composite scores were captured at specific time points throughout the study, including at 14 weeks and after the 12-week washout (26 weeks).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Highlights of the study results were as follows:</w:t>
      </w:r>
    </w:p>
    <w:p>
      <w:pPr>
        <w:spacing w:after="0" w:line="131" w:lineRule="exact"/>
        <w:rPr>
          <w:sz w:val="20"/>
          <w:szCs w:val="20"/>
          <w:color w:val="auto"/>
        </w:rPr>
      </w:pPr>
    </w:p>
    <w:p>
      <w:pPr>
        <w:ind w:left="154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statistical difference between the HFP and LFP PoNS Treatment arms mirroring the results of the registrational clinical trial.</w:t>
      </w:r>
    </w:p>
    <w:p>
      <w:pPr>
        <w:spacing w:after="0" w:line="67" w:lineRule="exact"/>
        <w:rPr>
          <w:rFonts w:ascii="Times New Roman" w:cs="Times New Roman" w:eastAsia="Times New Roman" w:hAnsi="Times New Roman"/>
          <w:sz w:val="18"/>
          <w:szCs w:val="18"/>
          <w:color w:val="auto"/>
        </w:rPr>
      </w:pPr>
    </w:p>
    <w:p>
      <w:pPr>
        <w:ind w:left="1540" w:right="64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average, participants entered the study with an SOT composite score of approximately 40, which is a score that indicates substantially compromised functional balance.</w:t>
      </w:r>
    </w:p>
    <w:p>
      <w:pPr>
        <w:spacing w:after="0" w:line="67"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14 weeks of active treatment with the HFP PoNS arm, patients showed improvements on average of 29.8 points on the SOT composite score.</w:t>
      </w:r>
    </w:p>
    <w:p>
      <w:pPr>
        <w:spacing w:after="0" w:line="67"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12-week washout period, the participants, on average, maintained the same SOT composite score as after 14 weeks of PoNS treatment.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Conclusion:</w:t>
      </w:r>
    </w:p>
    <w:p>
      <w:pPr>
        <w:spacing w:after="0" w:line="131" w:lineRule="exact"/>
        <w:rPr>
          <w:sz w:val="20"/>
          <w:szCs w:val="20"/>
          <w:color w:val="auto"/>
        </w:rPr>
      </w:pPr>
    </w:p>
    <w:p>
      <w:pPr>
        <w:ind w:left="1540" w:hanging="331"/>
        <w:spacing w:after="0" w:line="256" w:lineRule="auto"/>
        <w:tabs>
          <w:tab w:leader="none" w:pos="1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demonstrated that the PoNS Treatment could, on average, allow patients with mmTBI who had balance deficit and other injury-related functional disabilities, achieve an SOT composite score in the normal range in 14 weeks and maintain that benefit after a 12-week washout period. We believe that this data supports the durability of the response to the treatment and the potential restoration of the balance system. Furthermore, in a subset of nine participants, sequential magnetic resonance imaging, or MRI, scans were performed that showed increased grey matter volume in the cerebellum and elsewhere, commensurate with improved balance.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Overall Conclusion From the Two mmTBI Trials.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most significant observations from the two mmTBI trials are:</w:t>
      </w:r>
    </w:p>
    <w:p>
      <w:pPr>
        <w:spacing w:after="0" w:line="131" w:lineRule="exact"/>
        <w:rPr>
          <w:sz w:val="20"/>
          <w:szCs w:val="20"/>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registrational and long-term treatment trials combined were the largest non-implantable neuromodulation trials in balance and gait deficit due mmTBI ever performed.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who had a profound, chronic balance disorder resistant to conventional physical therapy, and with a prognosis of a lifetime of this disability were, on average, in the normal range of balance following the 14 weeks of treatment.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subset of nine participants, MRI scans revealed structural changes in the brain resulting from the neuromodulation inducing neuroplastic effect.</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PoNS Treatment in one data set also resulted, on average, in patients maintaining the improvement for at least a 12-week period suggesting a permanent improvement in participants’ balance issues.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differences in clinical outcomes across the clinical trial sites performing both trials.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differences at baseline in age, sex, time from injury, amount of previous physical therapy, level of disability or adherence to therapy in each of the treatment groups.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in therapeutic effect noted between high and low frequency pulse groups suggests that there was an independent device effect.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Status Worldwide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Canadian Regulatory Status: mmTBI and MS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Regulatory Status: MS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Breakthrough Device Designation does not change the requirements for approval of an application for a marketing authorization under section 510(k) of the Food, Drug, and Cosmetic Act.</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such as the PoNS device. The FDA’s request for additional information includes requests for additional analysis of clinical data and proposes certain labeling modifications. On January 11, 2021, we announced that we submitted our formal response to the FDA’s request for additional information.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Regulatory Status: mmTBI</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U.S. regulatory strategy initially focused on pursuing de novo classification and clearance of the PoNS device from the FDA for the treatment of balance deficit due to mmTBI.</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April 2019, we announced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 including stroke, cerebral palsy, Parkinson’s disease, baby boomers balance, and neurological wellness.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Regulatory Status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December 2018, we submitted an application for a CE Mark, which, if approved, would allow us to market the PoNS device in the EU.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Australian Regulatory Status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third quarter of 2019 we initiated the submission of our application to the TGA. We supplemented our submission with additional data based on questions supplied to date and provided responses to additional questions during the third quarter of 2020. We are currently awaiting additional feedback from the TGA on our application.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Partnerships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Army Partnership</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Between 2013 and 2015, we entered into a series of agreements with the U.S. Army to determine if the PoNS Treatment could be developed for commercial use in the treatment of service members with balance deficit related to mmTBI, or the U.S. Army Agreement. Under the U.S. Army Agreement, we were the sole regulatory sponsor and oversaw and executed all required clinical studies. The U.S. Army reimbursed us for the initially budgeted costs related to the registrational clinical trial of the safety and effectiveness of the PoNS Treatment for balance deficits related to mmTBI, up to a maximum amount of $3.0 million.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November 2018, the U.S. Army Combat Capabilities Development Command Army Research Laboratories, or Army Laboratories, notified us of their intention to terminate the Master Cooperative Research and Development Agreement, or the CRADA, effective December 31, 2018. In December 2018, the U.S. Army notified us that it was amending the U.S. Army Agreement to provide that our obligations under the contract were satisfied upon our submission of an application for marketing authorization of the PoNS device to the FDA.</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satisfaction of the U.S. Army Agreement and the termination of the CRADA concluded our formal contractual relationships with the U.S. Army. We are currently focusing on partnering with the relevant departments in the U.S. Department of Defense, or DOD, and U.S. Department of Veterans Affairs, or Veterans Affairs and other independent advocacy groups, to obtain reimbursement, upon FDA marketing authorization, for U.S. military personnel using our PoNS Treatment.</w:t>
      </w:r>
    </w:p>
    <w:p>
      <w:pPr>
        <w:spacing w:after="0" w:line="180" w:lineRule="exact"/>
        <w:rPr>
          <w:sz w:val="20"/>
          <w:szCs w:val="20"/>
          <w:color w:val="auto"/>
        </w:rPr>
      </w:pPr>
    </w:p>
    <w:p>
      <w:pPr>
        <w:ind w:left="120" w:right="74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2018, we received a total of approximately $3.0 million with respect to reimbursements for expenses owed to us for completion of development milestones. All reimbursement amounts received were credited directly to research and development expenses.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Canadian Strategic Alliance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September 2018, we entered into an exclusive strategic alliance agreement with Health Tech Connex, Inc., or HTC, and Heuro Canada Inc., or Heuro, a newly formed wholly owned subsidiary of HTC, to establish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w:t>
      </w:r>
    </w:p>
    <w:p>
      <w:pPr>
        <w:spacing w:after="0" w:line="158"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2019, we entered into the clinic expansion phase of the alliance with the addition of up to three new PoNS-authorized clinics, bringing the total number of clinics authorized to treat patients with the PoNS device to five in Canada.</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Prior to October 30, 2019, the exclusive strategic alliance agreement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are to provide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throughout Canada. This co-promotion arrangement terminates upon the earlier of the collection of data from 200 patients in Canada and December 31, 2020. The co-promotion arrangement terminated on December 31, 2020. Also, subject to certain terms and conditions, we granted to HTC the exclusive right to provide the PoNS Treatment in the Fraser Valley and Vancouver metro regions of British Columbia, where HTC has operated a PoNS-authorized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A&amp;B Asset Purchase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October 2015, we entered into a strategic agreement with A&amp;B (HK) Company Ltd., or A&amp;B, an investment and development company based in Hong Kong for the development and commercialization of the PoNS Treatment in China, Hong Kong, Macau, Taiwan and Singapore, collectively referred to as the Territories. The agreement transferred ownership of certain of our Asian patents, patent applications, and product support material for the PoNS device from us to A&amp;B and granted to A&amp;B, among other things, an exclusive license to market, promote, distribute and sell the PoNS device solely within the Territories. Pursuant to the agreement, A&amp;B has assumed all development, patent (both application and defense), future manufacturing, clinical trial,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and regulatory clearance costs for the Territories. A&amp;B and us will share and transfer ownership of any intellectual property or support material (developed by either party) for each of our respective geographies.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agreement, A&amp;B agreed to provide us with a $7.0 million funding commitment, consisting of an initial $2.0 million convertible promissory note and a $5.0 million funding commitment. On October 9, 2015, we received the conversion notice on the promissory note and, on November 10, 2015, we issued 11,904 shares of common stock at a price of $168.00 per share and 5,952 warrants exercisable at $252.00 per share for a period of three years from the date of issuance. On December 29, 2015, we drew down the $5.0 million funding commitment through the January 7, 2016 issuance of 31,746 shares of common stock at a price of $157.50 per share and 15,873 warrants exercisable at $236.25 per share for a period of three years from the date of issuance. In November 2017, A&amp;B exercised 5,952 warrants at a price of $252.00 per share and we received gross proceeds of $1.5 million. During the first quarter of 2018, A&amp;B exercised its remaining 15,873 warrants at a price of $236.25 per share and we received gross proceeds of $3.8 million.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August 2018, A&amp;B executed a transfer agreement whereby A&amp;B transferred all the assets under the A&amp;B asset purchase agreement with us to China Medical Systems Medical Limited, or CMS, a Malaysian based Hong Kong listed company and an affiliate of A&amp;B. In February 2019, we executed a novation deed whereby CMS irrevocably assigned and transferred all of its rights, obligations and assets under the transfer agreement to CMS Medical Hong Kong Limited, a Hong Kong-based investment holding company principally engaged in the manufacture, marketing, promotion and sales of pharmaceutical products. We are currently working with CMS in providing regulatory support of its application to the National Medical Products Administration for marketing authorization in China.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 Manufacturing and Logistics Services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January 2017, we entered into an agreement with Cambridge Consultants LLC, or Cambridge, pursuant to which Cambridge assumed responsibilities for key aspects of the design and development of the PoNS device. As part of the agreement, Cambridge will validate the performance of the engineering, design verification testing and product documentation to support our FDA submission. Cambridge will also assist us in the identification of, and transition to, our commercial-scale manufacturer.</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29, 2017, we selected Key Tronic Corporation, or Key Tronic, as our contract-manufacturing partner for the PoNS device after a competitive selection process. The commercial design of the PoNS device will be manufactured and assembled at Key Tronic’s facilities located in Oakdale, Minnesota. Key Tronic manufactured devices for engineering and design verification testing and for our FDA submission as well as commercial devices for launch inventory. Key Tronic has multiple locations across the United States, Mexico and China with back-up manufacturing capabilities to help mitigate the risk of a single source provider. We remain ultimately responsible for the compliance of our submissions and products, and activities performed on our behalf.</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place an emphasis on protecting our patented technology, trade secrets and know-how and only share confidential information on an as needed basis. Key Tronic is registered as a medical device manufacturer in good standing with the FDA and along with Cambridge are certified in accordance with International Organization for Standardization, or ISO, 13485, a comprehensive quality management system for the design and manufacture of medical devices.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November 30, 2016, HMI received our ISO 13485:2003 certification, which was updated to the 2016 version of the standard during the fourth quarter of 2018 along with receiving our Medical Device Single Audit Plan, or MDSAP, for the United States and Canada, with the scope of the MDSAP certification expanded to include Australia during the third quarter of 2019.</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February 2019, we entered into an agreement with McKesson Specialty Care Distribution LLC, or McKesson, pursuant to which McKesson will provide a comprehensive array of logistical, account management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and related distribution services for the commercialization of the PoNS device in the United States. This agreement was terminated in the second quarter of 2019 following the FDA’s denial of our request for de novo classification and clearance of the PoNS device.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Canada Commercialization Efforts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31 clinic locations as of December 31, 2020. There is a conscious shift in focus to driving patient throughput to these 31 clinics as we head into 2021. Sales performance in Canada continues to be impacted by the COVID-19 pandemic due to the space restrictions that the provincial governments have imposed as well as the risk tolerance of patients and therapists.</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collaboration with Toronto Rehabilitation Institute (part of University Health Network) we are continuing our clinical experience program, the results of which we will look to publish in 2021.</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continue to refine our go-to-market pricing model based on direct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 which was seen in the second half of 2020 when compared to the second half of 2019. We intend to keep the promotional pricing in place at least through the first quarter of 2021.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value dossiers for mmTBI and MS that were created in mid-2020 to fully demonstrate in both scientific and financial terms, the merits of PoNS Treatment for claimants are now being implemented along with submissions from clinics on behalf of their patients. The dossier is provided to our clinics across Canada to submit as part of treatment plans with reimbursement applications to the payer community. Our reimbursement strategy for mmTBI continues to focus on the auto collision insurance and workers’ compensation, or WC, market as well as long-term disability cases. Our reimbursement strategy for MS is focused on commercial insurers/extended health benefits.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Pre-Commercialization Activities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United States, the PoNS device is an investigational device pending completion of our registrational clinical trial and submission to FDA on our application for de novo classification and clearance.</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this pre-commercial phase, we are working on the development of our commercial strategy focused on building relationships with key large neurorehabilitation centers, which focus on treatment of MS patients, pricing and reimbursement opportunities and generating important data on outcomes of the PoNS Treatment gathered from Real World Evidence generated from treatment of patients in Canada and ensuring that our scientific data is presented at many of the key national and international neurology and neuromodulation meetings. We believe this scientific dissemination will begin to pave the way to establishing the PoNS Treatment as the standard of care for the treatment of MS-related gait deficit following FDA marketing authorization, if received.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Clinical Experience Programs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2018, we initiated a series of clinical experience programs, or CEPs, to prepare for a potential U.S. commercial launch. Originally, our CEPs were designed learn from and build relationships with large key neurorehabilitation clinics, train and certify physical therapists and generate health economic, return-to-work and clinical data to inform our payer strategy.</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Overall, we enrolled five clinic centers in the U.S. to carry out the CEPs: the Ohio State University Wexner Medical Center, a leading neurorehabilitation center located in Columbus, OH; Northwell Health’s Feinstein Institute for Medical Research in Manhasset, NY; Oregon Health &amp; Science University in Portland, OR; Kessler Institute for Rehabilitation and Kessler Foundation in Hanover, NJ; and the Baylor Research Institute in Dallas, TX.</w:t>
      </w:r>
    </w:p>
    <w:p>
      <w:pPr>
        <w:spacing w:after="0" w:line="180" w:lineRule="exact"/>
        <w:rPr>
          <w:sz w:val="20"/>
          <w:szCs w:val="20"/>
          <w:color w:val="auto"/>
        </w:rPr>
      </w:pPr>
    </w:p>
    <w:p>
      <w:pPr>
        <w:jc w:val="both"/>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Based on receipt of Canadian marketing authorization of our PoNS device earlier than anticipated, we were able rely on our early Canadian commercialization activities to provide us with the health economic, return-to-work and clinical data that we had planned to generate in the CEPs.</w:t>
      </w:r>
    </w:p>
    <w:p>
      <w:pPr>
        <w:spacing w:after="0" w:line="14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While we cancelled the CEP programs during 2019 after the denial by FDA, we have maintained solid relationships with the U.S. sites and expect several to become clinical trial sites for TBI-002, if pursued based on the availability of funding.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Commercialization</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To commercialize the PoNS Treatment in the United States following FDA marketing authorization, if received, we plan to target a subset of neurorehabilitation centers that have been profiled as early adopters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develop a network of PoNS certified neurorehabilitation centers that will be trained to deliver the PoNS Treatment. Care of patients with MS is concentrated in major neurorehabilitation centers that often have a network of outpatient rehabilitation clinics, where most of the PoNS Treatment will take place. We believe that a small, specialty sales force, calling on new technology review boards for trial and in-house physicians, neurologists, physiatrists and physical therapists, will be sufficient to drive trial and adoption of the PoNS Treatment in certified neurorehabilitation</w:t>
      </w:r>
    </w:p>
    <w:p>
      <w:pPr>
        <w:spacing w:after="0" w:line="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centers. Importantly, this focused strategy will also allow us to inspect whether we are generating patient outcomes similar to those seen in our clinical trials. We are planning to provide broad access and reimbursement for the PoNS Treatment over time. At launch, prior to the initiation of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In addition,we intend to pursue Medicare coverage for PoNS under the CMS voluntary Medicare Coverage of Innovative Technologies (MCIT) pathway which is a proposed rule outlining a plan to cover FDA-designated breakthrough devices for up to four years from the date they receive U.S. marketing authorization. In general, we anticipate at least a 24-month window to obtain broad coverage and reimbursement among government and private payers. We plan to work in parallel with non-traditional payers, such as WC, auto insurance and the military, by engaging with them and providing them with relevant health economic and return-to-work data obtained through our Canadian commercial experience.</w:t>
      </w:r>
    </w:p>
    <w:p>
      <w:pPr>
        <w:spacing w:after="0" w:line="17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With the satisfaction of our clinical development contract with the U.S. Army, we are focusing on partnering with relevant departments in the DOD and Veterans Affairs to obtain reimbursement, upon FDA marketing authorization, for U.S. military personnel using our PoNS Treatment. These two initiatives, among others, offer the potential to expand access more expeditiously to these high-unmet need patient populations.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Commercialization in Other Markets</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submitted an application for a CE Mark in December 2018. In preparation for our launch in the United Kingdom, or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Treatment in the UK. As previously described, in August 2019, we withdrew our application from the EU marketing and will revisit our UK and EU commercialization upon receipt of marketing clearance.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submitted an application to the TGA in Australia during the third quarter of 2019. We supplemented our submission with additional data based on questions supplied to date and provided responses to additional questions during the third quarter of 2020. We are currently awaiting additional feedback from the TGA on our application. We are working with consultants in Australia with expertise in market development to build our go-to-market strategy.</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also have marketing authorization to commercialize the PoNS Treatment in Russia and Uzbekistan. To date, we have not delivered any commercial devices in any of these territories and we will re-evaluate our strategic opportunities again at a later point in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PoNS-authorized clinic locations across Canada from March until June 2020. Patients who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second half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In addition, the resurgence of COVID-19 cases across Canada in the fourth quarter of 2020 has led to further restrictions on clinic activities.</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 or potentially look at other indications.</w:t>
      </w:r>
    </w:p>
    <w:p>
      <w:pPr>
        <w:spacing w:after="0" w:line="18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the clearance of the PoNS device for FDA marketing authorization, if received, we plan to engage with select payer segments to obtain coverage and reimbursement for the PoNS Treatment. We intend to combine evidence from our clinical trials and real-world experience from commercial clinics in Canada, to demonstrate the value proposition of the PoNS Treatment to payers and support favorable coverage and reimbursement decisions.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non-traditional payers may be among the earliest to provide coverage and reimbursement for the PoNS Treatment. Therefore, we are considering focusing initially on gaining coverage for the PoNS Treatment through WC payers. WC is an entitlement for injured workers, and payers are responsible for both medical and indemnity claims. Because these payers are responsible for both medical expenses and lost wages, they have an incentive to seek ways to help injured workers to return to work. As part of our commercial treatment program in Canada, we will collect both outcomes and return to work data, which we plan to utilize with WC payers to demonstrate both the clinical and economic value associated with the PoNS Treatment.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Similarly, military payers have an interest in reducing both medical costs and shortening the time to return to work for people who were injured while serving our country. We are working toward establishing relationships with thought leaders affiliated with the Department of Defense and Veterans Affairs, and will focus on obtaining reimbursement through this payer segment upon clearance. We anticipate that the same clinical and economic evidence that we will use with WC payers will also help to support gaining coverage and reimbursement for the PoNS Treatment military payers.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parallel, we will engage with the Centers for Medicare &amp; Medicaid Services, or CMMS, and select commercial payers.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The neurostimulation market is predominantly comprised of invasive technologies that are not directly competitive with our technology. Our competitors in the industry are predominantly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secrets of neuromodulation which now establishes neurostimulation as a legitimate and scientifically validated approach to the treatment of neurological conditions, and accordingly, we expect for competition in the non-invasive space to grow in the future.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we believe that we will have the first-mover advantage in the non-invasive neurostimulation space.</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PoNS Treatment introduces an innovative target and method of stimulation because targeting the tongue for neurostimulation provides several advantages that competitively distinguish the PoNS Treatment, which are discussed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Advantages of the PoNS Treatment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the PoNS Treatment offers the following benefits over existing neurostimulation technologies:</w:t>
      </w:r>
    </w:p>
    <w:p>
      <w:pPr>
        <w:spacing w:after="0" w:line="131" w:lineRule="exact"/>
        <w:rPr>
          <w:sz w:val="20"/>
          <w:szCs w:val="20"/>
          <w:color w:val="auto"/>
        </w:rPr>
      </w:pPr>
    </w:p>
    <w:p>
      <w:pPr>
        <w:ind w:left="1080" w:right="4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PoNS Treatment stimulates the trigeminal nerve which developing science has implicated to be beneficial in some neurological disorder models. The PoNS Treatment stimulates the lingual part of the nerve through the tongue, while other technologies stimulate other branches of the trigeminal nerve. It is the largest branch, having the highest amount of nerve fibers of the three branches. We believe this will be an advantage in our therapy.</w:t>
      </w:r>
    </w:p>
    <w:p>
      <w:pPr>
        <w:spacing w:after="0" w:line="85"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Stimulating the tongue also allows for the simultaneous stimulation of a second cranial nerve found in the tongue, the facial nerve. The ability to stimulate more than one nerve alone differentiates us from our competition. However, it has not been scientifically proven that stimulating additional nerves adds to the efficacy or safety of the PoNS Treatment.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tongue has an anatomically unique surface with a high density of receptors, a consistently moist and conductive environment, constant pH, constant temperature and a direct connection to the brain through at least two cranial nerves.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limbic system, basal ganglia and thalamus. We believe that this range of projections will allow impulses to be sent through sites regulating dozens of functions.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Unlike deep brain stimulation devices, implantable vagal nerve devices and other invasive forms of electrical stimulation, the tongue allows for neurostimulation to be delivered non-invasively and portably. This opens the door for integration of neurostimulation with a wide range of therapies previously unexplored for neurological rehabilitation.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Licensed Intellectual Property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12/348,301</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1/4/2009</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8,849,407</w:t>
            </w:r>
          </w:p>
        </w:tc>
        <w:tc>
          <w:tcPr>
            <w:tcW w:w="120" w:type="dxa"/>
            <w:vAlign w:val="bottom"/>
          </w:tcPr>
          <w:p>
            <w:pPr>
              <w:spacing w:after="0"/>
              <w:rPr>
                <w:sz w:val="16"/>
                <w:szCs w:val="16"/>
                <w:color w:val="auto"/>
              </w:rPr>
            </w:pPr>
          </w:p>
        </w:tc>
        <w:tc>
          <w:tcPr>
            <w:tcW w:w="98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9/30/2014</w:t>
            </w: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non-invasive neurostimulation of the skin combined with simultaneous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physical therapy to provide neurorehabilitation of a patient to treat various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maladies including, e.g., TBI, stroke and Alzheimer’s disease</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14/340,144</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7/24/2014</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8,909,345</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12/9/2014   non-invasive neurostimulation within a patient’s mouth combined with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physical therapy to provide neurorehabilitation of a patient to treat various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maladies including, e.g., TBI, stroke, and Alzheimer’s disease</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14/341,141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7/25/2014</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9,020,612</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4/28/2015   non-invasive neurostimulation within a patient’s mouth combined with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cognitive therapy to provide neurorehabilitation of a patient resulting in</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improved reading comprehension and increased attention span as well as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treatment various maladies including, but not limited to, TBI, stroke,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Alzheimer’s disease</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14/615,766</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2/6/2015</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9,656,078</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5/23/2017   non-invasive neurostimulation within a patient’s mouth combined with</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stimulation of the patient’s vision, hearing, vestibular systems, or</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somatosensory systems for the treatment of tinnitus</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14/689,462</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4/17/2015</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9,597,501</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3/21/2017   non-invasive neurostimulation of a patient’s skin combined with cognitive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therapy to provide neurorehabilitation of a patient resulting in improved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reading comprehension and increased attention span as well as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treatment various maladies including, e.g., TBI, stroke, and Alzheimer’s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disease</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14/815,171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7/31/2015</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9,597,504</w:t>
            </w:r>
          </w:p>
        </w:tc>
        <w:tc>
          <w:tcPr>
            <w:tcW w:w="120" w:type="dxa"/>
            <w:vAlign w:val="bottom"/>
          </w:tcPr>
          <w:p>
            <w:pPr>
              <w:spacing w:after="0"/>
              <w:rPr>
                <w:sz w:val="23"/>
                <w:szCs w:val="23"/>
                <w:color w:val="auto"/>
              </w:rPr>
            </w:pPr>
          </w:p>
        </w:tc>
        <w:tc>
          <w:tcPr>
            <w:tcW w:w="64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3/21/2017   non-invasive neurostimulation of a patient’s mouth combined with therapy</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provide neurorehabilitation of a patient, with a focus on features of a</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neurostimulation device</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w:t>
            </w:r>
          </w:p>
        </w:tc>
        <w:tc>
          <w:tcPr>
            <w:tcW w:w="1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15/207,029</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7/11/2016</w:t>
            </w:r>
          </w:p>
        </w:tc>
        <w:tc>
          <w:tcPr>
            <w:tcW w:w="120" w:type="dxa"/>
            <w:vAlign w:val="bottom"/>
          </w:tcPr>
          <w:p>
            <w:pPr>
              <w:spacing w:after="0"/>
              <w:rPr>
                <w:sz w:val="21"/>
                <w:szCs w:val="21"/>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9,656,069</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5/23/2017</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non-invasive neurostimulation of a subject’s oral cavity while the subject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engages in an exercise in order to enhance a subject’s proficiency in the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15/283,894</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10/3/2016</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10,258,790</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4/16/2019</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non-invasive neurostimulation of a subject’s oral cavity or skin while the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subject engages in a physical or cognitive exercise in order to enhance a</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subject’s proficiency in the exercise</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15/602,060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5/22/2017</w:t>
            </w:r>
          </w:p>
        </w:tc>
        <w:tc>
          <w:tcPr>
            <w:tcW w:w="120" w:type="dxa"/>
            <w:vAlign w:val="bottom"/>
          </w:tcPr>
          <w:p>
            <w:pPr>
              <w:spacing w:after="0"/>
              <w:rPr>
                <w:sz w:val="23"/>
                <w:szCs w:val="2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10,328,263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6/25/2019</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non-invasive neurostimulation within a patient’s mouth or on a patient’s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skin combined with an exercise for treatment of a disorder affecting sleep</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patterns</w:t>
            </w:r>
          </w:p>
        </w:tc>
        <w:tc>
          <w:tcPr>
            <w:tcW w:w="0" w:type="dxa"/>
            <w:vAlign w:val="bottom"/>
          </w:tcPr>
          <w:p>
            <w:pPr>
              <w:spacing w:after="0"/>
              <w:rPr>
                <w:sz w:val="1"/>
                <w:szCs w:val="1"/>
                <w:color w:val="auto"/>
              </w:rPr>
            </w:pPr>
          </w:p>
        </w:tc>
      </w:tr>
      <w:tr>
        <w:trPr>
          <w:trHeight w:val="26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61/019,061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1/4/2008</w:t>
            </w:r>
          </w:p>
        </w:tc>
        <w:tc>
          <w:tcPr>
            <w:tcW w:w="120" w:type="dxa"/>
            <w:vAlign w:val="bottom"/>
          </w:tcPr>
          <w:p>
            <w:pPr>
              <w:spacing w:after="0"/>
              <w:rPr>
                <w:sz w:val="23"/>
                <w:szCs w:val="2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Expired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(Provisional)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61/020,265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1/10/2008</w:t>
            </w:r>
          </w:p>
        </w:tc>
        <w:tc>
          <w:tcPr>
            <w:tcW w:w="120" w:type="dxa"/>
            <w:vAlign w:val="bottom"/>
          </w:tcPr>
          <w:p>
            <w:pPr>
              <w:spacing w:after="0"/>
              <w:rPr>
                <w:sz w:val="24"/>
                <w:szCs w:val="2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Expired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(Provisional)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U.S. Patent Nos. 8,909,345; 9,020,612; 9,656,078; 9,597,501; 9,597,504; 9,656,069; 10,258,790; and 10,328,263 claim priority to U.S. Patent No. 8,849,407.</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8,849,407; 8,909,345; 9,020,612; 9,656,078; 9,597,501; 9,597,504; 9,656,069; 10,258,790; and 10,328,263,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83"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ANR holds an interest in the Patent Pending Rights pursuant to an exclusive license from the inventors. U.S. Patent Nos. 8,909,345; 9,020,612; 9,656,078; 9,597,501; 9,597,504; 9,656,069; 10,258,790; and 10,328,263 are included in the exclusive license as the exclusive license agreement covers</w:t>
      </w:r>
    </w:p>
    <w:p>
      <w:pPr>
        <w:spacing w:after="0" w:line="1" w:lineRule="exact"/>
        <w:rPr>
          <w:sz w:val="20"/>
          <w:szCs w:val="20"/>
          <w:color w:val="auto"/>
        </w:rPr>
      </w:pPr>
    </w:p>
    <w:p>
      <w:pPr>
        <w:ind w:left="120" w:right="380" w:hanging="4"/>
        <w:spacing w:after="0" w:line="253"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10,258,790; and 10,328,263 claim priority through such provisional application as well as through Provisional Application 61/020,265.</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the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The Sublicense Agreement acknowledges the Reverse Merger (see “Our Corporate History—Acquisition of Helius Medical, Inc and Concurrent Financing” below) and adds us as a party to the agreement.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83"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license of the Patent Pending Rights is also subject to the terms of the CRADA. In the event that we are not willing or unable to commercialize the PoNS technology within four years from the expiration of the CRADA, the Company is required to transfer possession, ownership and sponsorship/holdership of the regulation application, regulatory correspondence and supporting regulatory information related technology to USAMRMC and grant the U.S. Government a non-exclusive, irrevocable license to any patent, copyright, data rights, proprietary information or regulatory information for the U.S. Government to commercialize the technology.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Owned Intellectual Property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January 11, 2021, we have filed 36 U.S. patent applications related to various technical and ornamental aspects of the PoNS device: 17 non-provisional patent applications that describe various technical features in the current version device and 19 design patent applications describing various ornamental designs. We are the sole assignee for these 36 U.S. patent filings. In addition to the first issued patent (U.S. Patent No. 9,072,889), the USPTO has issued 13 utility patents and 19 design patents as summarized in the table below:</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0" w:type="dxa"/>
            <w:vAlign w:val="bottom"/>
            <w:gridSpan w:val="2"/>
            <w:vMerge w:val="continue"/>
          </w:tcPr>
          <w:p>
            <w:pPr>
              <w:spacing w:after="0"/>
              <w:rPr>
                <w:sz w:val="12"/>
                <w:szCs w:val="12"/>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14/558,768</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9,072,889</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ind w:left="52"/>
              <w:spacing w:after="0" w:line="191" w:lineRule="exact"/>
              <w:rPr>
                <w:sz w:val="20"/>
                <w:szCs w:val="20"/>
                <w:color w:val="auto"/>
              </w:rPr>
            </w:pPr>
            <w:r>
              <w:rPr>
                <w:rFonts w:ascii="Times New Roman" w:cs="Times New Roman" w:eastAsia="Times New Roman" w:hAnsi="Times New Roman"/>
                <w:sz w:val="18"/>
                <w:szCs w:val="18"/>
                <w:color w:val="auto"/>
                <w:w w:val="99"/>
              </w:rPr>
              <w:t>7/7/2015</w:t>
            </w: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mouthpiece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14/559,123</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9,272,133</w:t>
            </w:r>
          </w:p>
        </w:tc>
        <w:tc>
          <w:tcPr>
            <w:tcW w:w="100" w:type="dxa"/>
            <w:vAlign w:val="bottom"/>
          </w:tcPr>
          <w:p>
            <w:pPr>
              <w:spacing w:after="0"/>
              <w:rPr>
                <w:sz w:val="23"/>
                <w:szCs w:val="23"/>
                <w:color w:val="auto"/>
              </w:rPr>
            </w:pP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3/1/2016</w:t>
            </w:r>
          </w:p>
        </w:tc>
        <w:tc>
          <w:tcPr>
            <w:tcW w:w="120" w:type="dxa"/>
            <w:vAlign w:val="bottom"/>
          </w:tcPr>
          <w:p>
            <w:pPr>
              <w:spacing w:after="0"/>
              <w:rPr>
                <w:sz w:val="23"/>
                <w:szCs w:val="23"/>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strain relief mechanisms for the connection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between the mouthpiece and the controller</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14/558,787</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9,227,051</w:t>
            </w:r>
          </w:p>
        </w:tc>
        <w:tc>
          <w:tcPr>
            <w:tcW w:w="100" w:type="dxa"/>
            <w:vAlign w:val="bottom"/>
          </w:tcPr>
          <w:p>
            <w:pPr>
              <w:spacing w:after="0"/>
              <w:rPr>
                <w:sz w:val="24"/>
                <w:szCs w:val="24"/>
                <w:color w:val="auto"/>
              </w:rPr>
            </w:pPr>
          </w:p>
        </w:tc>
        <w:tc>
          <w:tcPr>
            <w:tcW w:w="98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1/5/2016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shape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14/558,789</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9,283,377</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3/15/2016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8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14/559,080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9,415,209</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8/16/2016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structural support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14/559,105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9,415,210</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8/16/2016</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glue wells of the mouthpiece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14/727,100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6/1/2015</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9,616,222</w:t>
            </w:r>
          </w:p>
        </w:tc>
        <w:tc>
          <w:tcPr>
            <w:tcW w:w="100" w:type="dxa"/>
            <w:vAlign w:val="bottom"/>
          </w:tcPr>
          <w:p>
            <w:pPr>
              <w:spacing w:after="0"/>
              <w:rPr>
                <w:sz w:val="23"/>
                <w:szCs w:val="23"/>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4/11/2017</w:t>
            </w:r>
          </w:p>
        </w:tc>
        <w:tc>
          <w:tcPr>
            <w:tcW w:w="120" w:type="dxa"/>
            <w:vAlign w:val="bottom"/>
          </w:tcPr>
          <w:p>
            <w:pPr>
              <w:spacing w:after="0"/>
              <w:rPr>
                <w:sz w:val="23"/>
                <w:szCs w:val="23"/>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14/558,775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9,981,127</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5/29/2018</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aspects of the controller</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14/558,784</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9,789,306</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10/17/2017</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authentication techniques</w:t>
            </w:r>
          </w:p>
        </w:tc>
        <w:tc>
          <w:tcPr>
            <w:tcW w:w="0" w:type="dxa"/>
            <w:vAlign w:val="bottom"/>
          </w:tcPr>
          <w:p>
            <w:pPr>
              <w:spacing w:after="0"/>
              <w:rPr>
                <w:sz w:val="1"/>
                <w:szCs w:val="1"/>
                <w:color w:val="auto"/>
              </w:rPr>
            </w:pPr>
          </w:p>
        </w:tc>
      </w:tr>
      <w:tr>
        <w:trPr>
          <w:trHeight w:val="28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14/559,045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9,993,640</w:t>
            </w:r>
          </w:p>
        </w:tc>
        <w:tc>
          <w:tcPr>
            <w:tcW w:w="100" w:type="dxa"/>
            <w:vAlign w:val="bottom"/>
          </w:tcPr>
          <w:p>
            <w:pPr>
              <w:spacing w:after="0"/>
              <w:rPr>
                <w:sz w:val="24"/>
                <w:szCs w:val="24"/>
                <w:color w:val="auto"/>
              </w:rPr>
            </w:pPr>
          </w:p>
        </w:tc>
        <w:tc>
          <w:tcPr>
            <w:tcW w:w="9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6/12/2018</w:t>
            </w:r>
          </w:p>
        </w:tc>
        <w:tc>
          <w:tcPr>
            <w:tcW w:w="12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78</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Pr>
          <w:p>
            <w:pPr>
              <w:spacing w:after="0"/>
              <w:rPr>
                <w:sz w:val="12"/>
                <w:szCs w:val="12"/>
                <w:color w:val="auto"/>
              </w:rPr>
            </w:pPr>
          </w:p>
        </w:tc>
        <w:tc>
          <w:tcPr>
            <w:tcW w:w="54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14/559,118</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2"/>
                <w:szCs w:val="2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9,656,060</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5/23/2017</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methods of manufacturing the mouthpiece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15/484,077</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4/21/2017</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10,258,790</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4/16/2019</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application covering overall system design, including controller</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15/602,055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9/5/2017</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10,463,850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11/5/2019</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application covering methods of manufacturing the mouthpiece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16/005,624</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6/11/2018</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10,709,887</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7/14/2020</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application covering methods of placing a mouthpiece in a</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patient’s mouth prior to engaging in NINM</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16/384,016</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4/15/2019</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Pending</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application covering overall system design, including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controller and mechanical details of the mouthpiece, where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mouthpiece communicate wirelessly</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16/376,595</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4/5/2019</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Pending</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application covering non-invasive neurostimulation of a</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subject’s oral cavity or skin while the subject engages in a physical 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cognitive exercise in order to enhance a subject’s proficiency in the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29/510,741</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D750264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2/23/2016</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Design patent covering an alternative version of the current PoNS device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(over-ear double boom design)</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29/510,742</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D749746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2/16/2016</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Design patent covering an alternative version of the current PoNS device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(overhead minimal interference design)</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29/510,743</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D752236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3/22/2016</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Design patent covering system design used in the current PoNS 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29/510,745</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12/3/2014</w:t>
            </w:r>
          </w:p>
        </w:tc>
        <w:tc>
          <w:tcPr>
            <w:tcW w:w="120" w:type="dxa"/>
            <w:vAlign w:val="bottom"/>
          </w:tcPr>
          <w:p>
            <w:pPr>
              <w:spacing w:after="0"/>
              <w:rPr>
                <w:sz w:val="23"/>
                <w:szCs w:val="2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D750265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2/23/2016</w:t>
            </w: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PoNS device</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5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1080" w:type="dxa"/>
            <w:vAlign w:val="bottom"/>
            <w:gridSpan w:val="2"/>
            <w:vMerge w:val="continue"/>
          </w:tcPr>
          <w:p>
            <w:pPr>
              <w:spacing w:after="0"/>
              <w:rPr>
                <w:sz w:val="12"/>
                <w:szCs w:val="12"/>
                <w:color w:val="auto"/>
              </w:rPr>
            </w:pPr>
          </w:p>
        </w:tc>
        <w:tc>
          <w:tcPr>
            <w:tcW w:w="574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29/510,754</w:t>
            </w:r>
          </w:p>
        </w:tc>
        <w:tc>
          <w:tcPr>
            <w:tcW w:w="120" w:type="dxa"/>
            <w:vAlign w:val="bottom"/>
          </w:tcPr>
          <w:p>
            <w:pPr>
              <w:spacing w:after="0"/>
              <w:rPr>
                <w:sz w:val="19"/>
                <w:szCs w:val="19"/>
                <w:color w:val="auto"/>
              </w:rPr>
            </w:pPr>
          </w:p>
        </w:tc>
        <w:tc>
          <w:tcPr>
            <w:tcW w:w="1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D750794</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3/1/2016</w:t>
            </w:r>
          </w:p>
        </w:tc>
        <w:tc>
          <w:tcPr>
            <w:tcW w:w="100" w:type="dxa"/>
            <w:vAlign w:val="bottom"/>
          </w:tcPr>
          <w:p>
            <w:pPr>
              <w:spacing w:after="0"/>
              <w:rPr>
                <w:sz w:val="19"/>
                <w:szCs w:val="19"/>
                <w:color w:val="auto"/>
              </w:rPr>
            </w:pPr>
          </w:p>
        </w:tc>
        <w:tc>
          <w:tcPr>
            <w:tcW w:w="5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Design patent covering the controller used in the PoNS device</w:t>
            </w:r>
          </w:p>
        </w:tc>
        <w:tc>
          <w:tcPr>
            <w:tcW w:w="0" w:type="dxa"/>
            <w:vAlign w:val="bottom"/>
          </w:tcPr>
          <w:p>
            <w:pPr>
              <w:spacing w:after="0"/>
              <w:rPr>
                <w:sz w:val="1"/>
                <w:szCs w:val="1"/>
                <w:color w:val="auto"/>
              </w:rPr>
            </w:pPr>
          </w:p>
        </w:tc>
      </w:tr>
      <w:tr>
        <w:trPr>
          <w:trHeight w:val="247"/>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29/510,755</w:t>
            </w:r>
          </w:p>
        </w:tc>
        <w:tc>
          <w:tcPr>
            <w:tcW w:w="120" w:type="dxa"/>
            <w:vAlign w:val="bottom"/>
          </w:tcPr>
          <w:p>
            <w:pPr>
              <w:spacing w:after="0"/>
              <w:rPr>
                <w:sz w:val="21"/>
                <w:szCs w:val="21"/>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1"/>
                <w:szCs w:val="2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D751215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3/8/2016</w:t>
            </w:r>
          </w:p>
        </w:tc>
        <w:tc>
          <w:tcPr>
            <w:tcW w:w="10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29/510,746</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D750266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29/510,749</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D750268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29/510,747</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D751213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29/510,748</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D750267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2/23/2016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29/510,750</w:t>
            </w:r>
          </w:p>
        </w:tc>
        <w:tc>
          <w:tcPr>
            <w:tcW w:w="12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D753315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4/5/2016</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mouthpiece used in the current PoNS 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29/510,751</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D751722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Patent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0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5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1080" w:type="dxa"/>
            <w:vAlign w:val="bottom"/>
            <w:gridSpan w:val="2"/>
            <w:vMerge w:val="continue"/>
          </w:tcPr>
          <w:p>
            <w:pPr>
              <w:spacing w:after="0"/>
              <w:rPr>
                <w:sz w:val="12"/>
                <w:szCs w:val="12"/>
                <w:color w:val="auto"/>
              </w:rPr>
            </w:pPr>
          </w:p>
        </w:tc>
        <w:tc>
          <w:tcPr>
            <w:tcW w:w="574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5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29/510,752</w:t>
            </w:r>
          </w:p>
        </w:tc>
        <w:tc>
          <w:tcPr>
            <w:tcW w:w="120" w:type="dxa"/>
            <w:vAlign w:val="bottom"/>
          </w:tcPr>
          <w:p>
            <w:pPr>
              <w:spacing w:after="0"/>
              <w:rPr>
                <w:sz w:val="21"/>
                <w:szCs w:val="21"/>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1"/>
                <w:szCs w:val="2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D752766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3/29/2016</w:t>
            </w:r>
          </w:p>
        </w:tc>
        <w:tc>
          <w:tcPr>
            <w:tcW w:w="10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29/510,753</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D753316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29/510,744</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D760397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alternative system design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29/510,756</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12/3/2014</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D759830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6/21/2016</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alternative system design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29/681,984</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2/28/2019</w:t>
            </w:r>
          </w:p>
        </w:tc>
        <w:tc>
          <w:tcPr>
            <w:tcW w:w="12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D891084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7/28/2020</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mouthpiece retainer case design used in the current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PoNS device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29/681,990</w:t>
            </w:r>
          </w:p>
        </w:tc>
        <w:tc>
          <w:tcPr>
            <w:tcW w:w="12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2/28/2019</w:t>
            </w:r>
          </w:p>
        </w:tc>
        <w:tc>
          <w:tcPr>
            <w:tcW w:w="12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D894601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9/1/2020</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carry case design used in the current PoNS device</w:t>
            </w:r>
          </w:p>
        </w:tc>
        <w:tc>
          <w:tcPr>
            <w:tcW w:w="0" w:type="dxa"/>
            <w:vAlign w:val="bottom"/>
          </w:tcPr>
          <w:p>
            <w:pPr>
              <w:spacing w:after="0"/>
              <w:rPr>
                <w:sz w:val="1"/>
                <w:szCs w:val="1"/>
                <w:color w:val="auto"/>
              </w:rPr>
            </w:pPr>
          </w:p>
        </w:tc>
      </w:tr>
      <w:tr>
        <w:trPr>
          <w:trHeight w:val="265"/>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29/682,001</w:t>
            </w:r>
          </w:p>
        </w:tc>
        <w:tc>
          <w:tcPr>
            <w:tcW w:w="12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2/28/2019</w:t>
            </w:r>
          </w:p>
        </w:tc>
        <w:tc>
          <w:tcPr>
            <w:tcW w:w="120" w:type="dxa"/>
            <w:vAlign w:val="bottom"/>
          </w:tcPr>
          <w:p>
            <w:pPr>
              <w:spacing w:after="0"/>
              <w:rPr>
                <w:sz w:val="23"/>
                <w:szCs w:val="2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Pending</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D907221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1/5/2021</w:t>
            </w:r>
          </w:p>
        </w:tc>
        <w:tc>
          <w:tcPr>
            <w:tcW w:w="100" w:type="dxa"/>
            <w:vAlign w:val="bottom"/>
          </w:tcPr>
          <w:p>
            <w:pPr>
              <w:spacing w:after="0"/>
              <w:rPr>
                <w:sz w:val="23"/>
                <w:szCs w:val="23"/>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alternative system design used in the current PoNS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device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to our U.S. patents, we have been granted 18 foreign utility patents (eight in Australia, five in Russia, two in Israel, two in Europe (validated in France, Germany, Italy, UK and Spain) and one in Eurasia, or EA, (validated in all eight Eurasian member-states), and 28 foreign design patents (three in Australia, seven in Canada, three in Russia, and 15 registered community designs in Europe), as detailed in the tables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Utility Patents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Pr>
          <w:p>
            <w:pPr>
              <w:spacing w:after="0"/>
              <w:rPr>
                <w:sz w:val="12"/>
                <w:szCs w:val="12"/>
                <w:color w:val="auto"/>
              </w:rPr>
            </w:pPr>
          </w:p>
        </w:tc>
        <w:tc>
          <w:tcPr>
            <w:tcW w:w="518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tcPr>
          <w:p>
            <w:pPr>
              <w:jc w:val="center"/>
              <w:ind w:left="37"/>
              <w:spacing w:after="0" w:line="191" w:lineRule="exact"/>
              <w:rPr>
                <w:sz w:val="20"/>
                <w:szCs w:val="20"/>
                <w:color w:val="auto"/>
              </w:rPr>
            </w:pPr>
            <w:r>
              <w:rPr>
                <w:rFonts w:ascii="Times New Roman" w:cs="Times New Roman" w:eastAsia="Times New Roman" w:hAnsi="Times New Roman"/>
                <w:sz w:val="18"/>
                <w:szCs w:val="18"/>
                <w:color w:val="auto"/>
                <w:w w:val="99"/>
              </w:rPr>
              <w:t>2015355211</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jc w:val="center"/>
              <w:ind w:left="116"/>
              <w:spacing w:after="0" w:line="191" w:lineRule="exact"/>
              <w:rPr>
                <w:sz w:val="20"/>
                <w:szCs w:val="20"/>
                <w:color w:val="auto"/>
              </w:rPr>
            </w:pPr>
            <w:r>
              <w:rPr>
                <w:rFonts w:ascii="Times New Roman" w:cs="Times New Roman" w:eastAsia="Times New Roman" w:hAnsi="Times New Roman"/>
                <w:sz w:val="18"/>
                <w:szCs w:val="18"/>
                <w:color w:val="auto"/>
                <w:w w:val="99"/>
              </w:rPr>
              <w:t>6/4/2017</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2015355211</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11/16/2017</w:t>
            </w: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2015355212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w w:val="99"/>
              </w:rPr>
              <w:t>6/4/2017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2015355212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12/21/2017</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65"/>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2017218934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rPr>
              <w:t>8/19/2017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2017218934</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1/3/2018</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mechanical details of the mouthpiece</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2017276270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12/13/2017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2017276270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6/28/2018</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authentication techniques</w:t>
            </w:r>
          </w:p>
        </w:tc>
        <w:tc>
          <w:tcPr>
            <w:tcW w:w="0" w:type="dxa"/>
            <w:vAlign w:val="bottom"/>
          </w:tcPr>
          <w:p>
            <w:pPr>
              <w:spacing w:after="0"/>
              <w:rPr>
                <w:sz w:val="1"/>
                <w:szCs w:val="1"/>
                <w:color w:val="auto"/>
              </w:rPr>
            </w:pPr>
          </w:p>
        </w:tc>
      </w:tr>
      <w:tr>
        <w:trPr>
          <w:trHeight w:val="284"/>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2018204184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6/11/2018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2018204184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10/25/2018</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aspects of the controller</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2017228517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9/11/2017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2017228517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1/24/2019</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application covering the shape of the mouthpiece</w:t>
            </w:r>
          </w:p>
        </w:tc>
        <w:tc>
          <w:tcPr>
            <w:tcW w:w="0" w:type="dxa"/>
            <w:vAlign w:val="bottom"/>
          </w:tcPr>
          <w:p>
            <w:pPr>
              <w:spacing w:after="0"/>
              <w:rPr>
                <w:sz w:val="1"/>
                <w:szCs w:val="1"/>
                <w:color w:val="auto"/>
              </w:rPr>
            </w:pPr>
          </w:p>
        </w:tc>
      </w:tr>
      <w:tr>
        <w:trPr>
          <w:trHeight w:val="265"/>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2018247259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10/11/2018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2018247259</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11/28/2019</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mouthpiece, and authentication techniques</w:t>
            </w:r>
          </w:p>
        </w:tc>
        <w:tc>
          <w:tcPr>
            <w:tcW w:w="0" w:type="dxa"/>
            <w:vAlign w:val="bottom"/>
          </w:tcPr>
          <w:p>
            <w:pPr>
              <w:spacing w:after="0"/>
              <w:rPr>
                <w:sz w:val="1"/>
                <w:szCs w:val="1"/>
                <w:color w:val="auto"/>
              </w:rPr>
            </w:pPr>
          </w:p>
        </w:tc>
      </w:tr>
      <w:tr>
        <w:trPr>
          <w:trHeight w:val="283"/>
        </w:trPr>
        <w:tc>
          <w:tcPr>
            <w:tcW w:w="11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2019200175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w w:val="99"/>
              </w:rPr>
              <w:t>1/7/2019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4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2019200175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10/24/2019</w:t>
            </w: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367"/>
        </w:trPr>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Eurasian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Eurasian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Pr>
          <w:p>
            <w:pPr>
              <w:spacing w:after="0"/>
              <w:rPr>
                <w:sz w:val="12"/>
                <w:szCs w:val="12"/>
                <w:color w:val="auto"/>
              </w:rPr>
            </w:pPr>
          </w:p>
        </w:tc>
        <w:tc>
          <w:tcPr>
            <w:tcW w:w="518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201790009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1/10/2017</w:t>
            </w:r>
          </w:p>
        </w:tc>
        <w:tc>
          <w:tcPr>
            <w:tcW w:w="120" w:type="dxa"/>
            <w:vAlign w:val="bottom"/>
          </w:tcPr>
          <w:p>
            <w:pPr>
              <w:spacing w:after="0"/>
              <w:rPr>
                <w:sz w:val="16"/>
                <w:szCs w:val="16"/>
                <w:color w:val="auto"/>
              </w:rPr>
            </w:pPr>
          </w:p>
        </w:tc>
        <w:tc>
          <w:tcPr>
            <w:tcW w:w="66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28551</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11/30/2017</w:t>
            </w: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Utility patent covering methods for non-invasively aiding</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(validated in 8 EA</w:t>
            </w:r>
          </w:p>
        </w:tc>
        <w:tc>
          <w:tcPr>
            <w:tcW w:w="110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neurorehabilitation using intraoral stimulation in combination with an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states)</w:t>
            </w:r>
          </w:p>
        </w:tc>
        <w:tc>
          <w:tcPr>
            <w:tcW w:w="1100" w:type="dxa"/>
            <w:vAlign w:val="bottom"/>
          </w:tcPr>
          <w:p>
            <w:pPr>
              <w:spacing w:after="0"/>
              <w:rPr>
                <w:sz w:val="20"/>
                <w:szCs w:val="20"/>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regimen</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980" w:type="dxa"/>
            <w:vAlign w:val="bottom"/>
            <w:gridSpan w:val="2"/>
            <w:vMerge w:val="continue"/>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594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60" w:type="dxa"/>
            <w:vAlign w:val="bottom"/>
            <w:gridSpan w:val="2"/>
            <w:vMerge w:val="continue"/>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0" w:type="dxa"/>
            <w:vAlign w:val="bottom"/>
            <w:gridSpan w:val="2"/>
            <w:vMerge w:val="continue"/>
          </w:tcPr>
          <w:p>
            <w:pPr>
              <w:spacing w:after="0"/>
              <w:rPr>
                <w:sz w:val="16"/>
                <w:szCs w:val="16"/>
                <w:color w:val="auto"/>
              </w:rPr>
            </w:pPr>
          </w:p>
        </w:tc>
        <w:tc>
          <w:tcPr>
            <w:tcW w:w="5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15813638.2</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7/1/2019</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tcPr>
          <w:p>
            <w:pPr>
              <w:spacing w:after="0"/>
              <w:rPr>
                <w:sz w:val="16"/>
                <w:szCs w:val="16"/>
                <w:color w:val="auto"/>
              </w:rPr>
            </w:pPr>
          </w:p>
        </w:tc>
        <w:tc>
          <w:tcPr>
            <w:tcW w:w="8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3226962</w:t>
            </w:r>
          </w:p>
        </w:tc>
        <w:tc>
          <w:tcPr>
            <w:tcW w:w="100" w:type="dxa"/>
            <w:vAlign w:val="bottom"/>
          </w:tcPr>
          <w:p>
            <w:pPr>
              <w:spacing w:after="0"/>
              <w:rPr>
                <w:sz w:val="16"/>
                <w:szCs w:val="16"/>
                <w:color w:val="auto"/>
              </w:rPr>
            </w:pPr>
          </w:p>
        </w:tc>
        <w:tc>
          <w:tcPr>
            <w:tcW w:w="8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7/3/2019</w:t>
            </w:r>
          </w:p>
        </w:tc>
        <w:tc>
          <w:tcPr>
            <w:tcW w:w="120" w:type="dxa"/>
            <w:vAlign w:val="bottom"/>
          </w:tcPr>
          <w:p>
            <w:pPr>
              <w:spacing w:after="0"/>
              <w:rPr>
                <w:sz w:val="16"/>
                <w:szCs w:val="16"/>
                <w:color w:val="auto"/>
              </w:rPr>
            </w:pPr>
          </w:p>
        </w:tc>
        <w:tc>
          <w:tcPr>
            <w:tcW w:w="5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Utility application covering overall system design, including controller and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mouthpiece</w:t>
            </w:r>
          </w:p>
        </w:tc>
        <w:tc>
          <w:tcPr>
            <w:tcW w:w="0" w:type="dxa"/>
            <w:vAlign w:val="bottom"/>
          </w:tcPr>
          <w:p>
            <w:pPr>
              <w:spacing w:after="0"/>
              <w:rPr>
                <w:sz w:val="1"/>
                <w:szCs w:val="1"/>
                <w:color w:val="auto"/>
              </w:rPr>
            </w:pPr>
          </w:p>
        </w:tc>
      </w:tr>
      <w:tr>
        <w:trPr>
          <w:trHeight w:val="283"/>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15812899.1</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8/6/2019</w:t>
            </w:r>
          </w:p>
        </w:tc>
        <w:tc>
          <w:tcPr>
            <w:tcW w:w="120" w:type="dxa"/>
            <w:vAlign w:val="bottom"/>
          </w:tcPr>
          <w:p>
            <w:pPr>
              <w:spacing w:after="0"/>
              <w:rPr>
                <w:sz w:val="24"/>
                <w:szCs w:val="2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3226961</w:t>
            </w:r>
          </w:p>
        </w:tc>
        <w:tc>
          <w:tcPr>
            <w:tcW w:w="10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8/7/2019</w:t>
            </w:r>
          </w:p>
        </w:tc>
        <w:tc>
          <w:tcPr>
            <w:tcW w:w="12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Utility application covering shape of the mouthpiece</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574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4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80" w:type="dxa"/>
            <w:vAlign w:val="bottom"/>
            <w:gridSpan w:val="2"/>
            <w:vMerge w:val="continue"/>
          </w:tcPr>
          <w:p>
            <w:pPr>
              <w:spacing w:after="0"/>
              <w:rPr>
                <w:sz w:val="16"/>
                <w:szCs w:val="16"/>
                <w:color w:val="auto"/>
              </w:rPr>
            </w:pPr>
          </w:p>
        </w:tc>
        <w:tc>
          <w:tcPr>
            <w:tcW w:w="5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2017123125</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6/1/2017</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2649512</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4/3/2018</w:t>
            </w:r>
          </w:p>
        </w:tc>
        <w:tc>
          <w:tcPr>
            <w:tcW w:w="100" w:type="dxa"/>
            <w:vAlign w:val="bottom"/>
          </w:tcPr>
          <w:p>
            <w:pPr>
              <w:spacing w:after="0"/>
              <w:rPr>
                <w:sz w:val="16"/>
                <w:szCs w:val="16"/>
                <w:color w:val="auto"/>
              </w:rPr>
            </w:pPr>
          </w:p>
        </w:tc>
        <w:tc>
          <w:tcPr>
            <w:tcW w:w="5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mouthpiece</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2017123041</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6/1/2017</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2652571</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4/26/2016</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Design patent covering the controller design currently used in the PoNS device</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2018108570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3/12/2018</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2665385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8/29/2018</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2018129619</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8/14/2019</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2686950</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5/6/2019</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Utility patent covering authentication techniques</w:t>
            </w:r>
          </w:p>
        </w:tc>
        <w:tc>
          <w:tcPr>
            <w:tcW w:w="0" w:type="dxa"/>
            <w:vAlign w:val="bottom"/>
          </w:tcPr>
          <w:p>
            <w:pPr>
              <w:spacing w:after="0"/>
              <w:rPr>
                <w:sz w:val="1"/>
                <w:szCs w:val="1"/>
                <w:color w:val="auto"/>
              </w:rPr>
            </w:pPr>
          </w:p>
        </w:tc>
      </w:tr>
      <w:tr>
        <w:trPr>
          <w:trHeight w:val="28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2018112065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3/28/2018</w:t>
            </w:r>
          </w:p>
        </w:tc>
        <w:tc>
          <w:tcPr>
            <w:tcW w:w="12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Issued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2686044</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4/23/2019</w:t>
            </w:r>
          </w:p>
        </w:tc>
        <w:tc>
          <w:tcPr>
            <w:tcW w:w="10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Utility patent covering center of gravity of the mouthpiece</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Israeli</w:t>
            </w:r>
          </w:p>
        </w:tc>
        <w:tc>
          <w:tcPr>
            <w:tcW w:w="100" w:type="dxa"/>
            <w:vAlign w:val="bottom"/>
          </w:tcPr>
          <w:p>
            <w:pPr>
              <w:spacing w:after="0"/>
              <w:rPr>
                <w:sz w:val="13"/>
                <w:szCs w:val="13"/>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Israeli</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Pr>
          <w:p>
            <w:pPr>
              <w:spacing w:after="0"/>
              <w:rPr>
                <w:sz w:val="12"/>
                <w:szCs w:val="12"/>
                <w:color w:val="auto"/>
              </w:rPr>
            </w:pPr>
          </w:p>
        </w:tc>
        <w:tc>
          <w:tcPr>
            <w:tcW w:w="584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720" w:type="dxa"/>
            <w:vAlign w:val="bottom"/>
            <w:gridSpan w:val="4"/>
            <w:vMerge w:val="continue"/>
          </w:tcPr>
          <w:p>
            <w:pPr>
              <w:spacing w:after="0"/>
              <w:rPr>
                <w:sz w:val="16"/>
                <w:szCs w:val="16"/>
                <w:color w:val="auto"/>
              </w:rPr>
            </w:pPr>
          </w:p>
        </w:tc>
        <w:tc>
          <w:tcPr>
            <w:tcW w:w="9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252649</w:t>
            </w:r>
          </w:p>
        </w:tc>
        <w:tc>
          <w:tcPr>
            <w:tcW w:w="120" w:type="dxa"/>
            <w:vAlign w:val="bottom"/>
          </w:tcPr>
          <w:p>
            <w:pPr>
              <w:spacing w:after="0"/>
              <w:rPr>
                <w:sz w:val="19"/>
                <w:szCs w:val="19"/>
                <w:color w:val="auto"/>
              </w:rPr>
            </w:pPr>
          </w:p>
        </w:tc>
        <w:tc>
          <w:tcPr>
            <w:tcW w:w="1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6/4/2017</w:t>
            </w:r>
          </w:p>
        </w:tc>
        <w:tc>
          <w:tcPr>
            <w:tcW w:w="120" w:type="dxa"/>
            <w:vAlign w:val="bottom"/>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center"/>
              <w:ind w:right="4"/>
              <w:spacing w:after="0"/>
              <w:rPr>
                <w:sz w:val="20"/>
                <w:szCs w:val="20"/>
                <w:color w:val="auto"/>
              </w:rPr>
            </w:pPr>
            <w:r>
              <w:rPr>
                <w:rFonts w:ascii="Times New Roman" w:cs="Times New Roman" w:eastAsia="Times New Roman" w:hAnsi="Times New Roman"/>
                <w:sz w:val="18"/>
                <w:szCs w:val="18"/>
                <w:color w:val="auto"/>
                <w:w w:val="99"/>
              </w:rPr>
              <w:t>252649</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12/21/2018</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4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252648</w:t>
            </w:r>
          </w:p>
        </w:tc>
        <w:tc>
          <w:tcPr>
            <w:tcW w:w="120" w:type="dxa"/>
            <w:vAlign w:val="bottom"/>
          </w:tcPr>
          <w:p>
            <w:pPr>
              <w:spacing w:after="0"/>
              <w:rPr>
                <w:sz w:val="21"/>
                <w:szCs w:val="21"/>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6/1/2017</w:t>
            </w:r>
          </w:p>
        </w:tc>
        <w:tc>
          <w:tcPr>
            <w:tcW w:w="120" w:type="dxa"/>
            <w:vAlign w:val="bottom"/>
          </w:tcPr>
          <w:p>
            <w:pPr>
              <w:spacing w:after="0"/>
              <w:rPr>
                <w:sz w:val="21"/>
                <w:szCs w:val="21"/>
                <w:color w:val="auto"/>
              </w:rPr>
            </w:pPr>
          </w:p>
        </w:tc>
        <w:tc>
          <w:tcPr>
            <w:tcW w:w="8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Issued</w:t>
            </w:r>
          </w:p>
        </w:tc>
        <w:tc>
          <w:tcPr>
            <w:tcW w:w="820" w:type="dxa"/>
            <w:vAlign w:val="bottom"/>
            <w:gridSpan w:val="3"/>
          </w:tcPr>
          <w:p>
            <w:pPr>
              <w:jc w:val="center"/>
              <w:ind w:right="4"/>
              <w:spacing w:after="0"/>
              <w:rPr>
                <w:sz w:val="20"/>
                <w:szCs w:val="20"/>
                <w:color w:val="auto"/>
              </w:rPr>
            </w:pPr>
            <w:r>
              <w:rPr>
                <w:rFonts w:ascii="Times New Roman" w:cs="Times New Roman" w:eastAsia="Times New Roman" w:hAnsi="Times New Roman"/>
                <w:sz w:val="18"/>
                <w:szCs w:val="18"/>
                <w:color w:val="auto"/>
                <w:w w:val="99"/>
              </w:rPr>
              <w:t>252648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Utility patent covering overall system design, including controller and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mouthpiece</w:t>
            </w:r>
          </w:p>
        </w:tc>
        <w:tc>
          <w:tcPr>
            <w:tcW w:w="0" w:type="dxa"/>
            <w:vAlign w:val="bottom"/>
          </w:tcPr>
          <w:p>
            <w:pPr>
              <w:spacing w:after="0"/>
              <w:rPr>
                <w:sz w:val="1"/>
                <w:szCs w:val="1"/>
                <w:color w:val="auto"/>
              </w:rPr>
            </w:pPr>
          </w:p>
        </w:tc>
      </w:tr>
      <w:tr>
        <w:trPr>
          <w:trHeight w:val="540"/>
        </w:trPr>
        <w:tc>
          <w:tcPr>
            <w:tcW w:w="2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Foreign Design Patents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00" w:type="dxa"/>
            <w:vAlign w:val="bottom"/>
          </w:tcPr>
          <w:p>
            <w:pPr>
              <w:spacing w:after="0"/>
              <w:rPr>
                <w:sz w:val="12"/>
                <w:szCs w:val="12"/>
                <w:color w:val="auto"/>
              </w:rPr>
            </w:pPr>
          </w:p>
        </w:tc>
        <w:tc>
          <w:tcPr>
            <w:tcW w:w="584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gridSpan w:val="2"/>
          </w:tcPr>
          <w:p>
            <w:pPr>
              <w:jc w:val="center"/>
              <w:ind w:left="20"/>
              <w:spacing w:after="0"/>
              <w:rPr>
                <w:sz w:val="20"/>
                <w:szCs w:val="20"/>
                <w:color w:val="auto"/>
              </w:rPr>
            </w:pPr>
            <w:r>
              <w:rPr>
                <w:rFonts w:ascii="Times New Roman" w:cs="Times New Roman" w:eastAsia="Times New Roman" w:hAnsi="Times New Roman"/>
                <w:sz w:val="18"/>
                <w:szCs w:val="18"/>
                <w:color w:val="auto"/>
                <w:w w:val="99"/>
              </w:rPr>
              <w:t>2015501883</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gridSpan w:val="2"/>
          </w:tcPr>
          <w:p>
            <w:pPr>
              <w:jc w:val="center"/>
              <w:ind w:left="22"/>
              <w:spacing w:after="0"/>
              <w:rPr>
                <w:sz w:val="20"/>
                <w:szCs w:val="20"/>
                <w:color w:val="auto"/>
              </w:rPr>
            </w:pPr>
            <w:r>
              <w:rPr>
                <w:rFonts w:ascii="Times New Roman" w:cs="Times New Roman" w:eastAsia="Times New Roman" w:hAnsi="Times New Roman"/>
                <w:sz w:val="18"/>
                <w:szCs w:val="18"/>
                <w:color w:val="auto"/>
                <w:w w:val="99"/>
              </w:rPr>
              <w:t>6/3/2015</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98981</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7/16/2016</w:t>
            </w:r>
          </w:p>
        </w:tc>
        <w:tc>
          <w:tcPr>
            <w:tcW w:w="120" w:type="dxa"/>
            <w:vAlign w:val="bottom"/>
          </w:tcPr>
          <w:p>
            <w:pPr>
              <w:spacing w:after="0"/>
              <w:rPr>
                <w:sz w:val="19"/>
                <w:szCs w:val="19"/>
                <w:color w:val="auto"/>
              </w:rPr>
            </w:pPr>
          </w:p>
        </w:tc>
        <w:tc>
          <w:tcPr>
            <w:tcW w:w="5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Design patent covering the system design currently used in the PoNS device</w:t>
            </w:r>
          </w:p>
        </w:tc>
        <w:tc>
          <w:tcPr>
            <w:tcW w:w="0" w:type="dxa"/>
            <w:vAlign w:val="bottom"/>
          </w:tcPr>
          <w:p>
            <w:pPr>
              <w:spacing w:after="0"/>
              <w:rPr>
                <w:sz w:val="1"/>
                <w:szCs w:val="1"/>
                <w:color w:val="auto"/>
              </w:rPr>
            </w:pPr>
          </w:p>
        </w:tc>
      </w:tr>
      <w:tr>
        <w:trPr>
          <w:trHeight w:val="265"/>
        </w:trPr>
        <w:tc>
          <w:tcPr>
            <w:tcW w:w="1120" w:type="dxa"/>
            <w:vAlign w:val="bottom"/>
            <w:gridSpan w:val="2"/>
          </w:tcPr>
          <w:p>
            <w:pPr>
              <w:jc w:val="center"/>
              <w:ind w:left="20"/>
              <w:spacing w:after="0"/>
              <w:rPr>
                <w:sz w:val="20"/>
                <w:szCs w:val="20"/>
                <w:color w:val="auto"/>
              </w:rPr>
            </w:pPr>
            <w:r>
              <w:rPr>
                <w:rFonts w:ascii="Times New Roman" w:cs="Times New Roman" w:eastAsia="Times New Roman" w:hAnsi="Times New Roman"/>
                <w:sz w:val="18"/>
                <w:szCs w:val="18"/>
                <w:color w:val="auto"/>
                <w:w w:val="99"/>
              </w:rPr>
              <w:t>2015501882</w:t>
            </w:r>
          </w:p>
        </w:tc>
        <w:tc>
          <w:tcPr>
            <w:tcW w:w="11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6/3/2015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82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rPr>
              <w:t>99240</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42598</w:t>
            </w:r>
          </w:p>
        </w:tc>
        <w:tc>
          <w:tcPr>
            <w:tcW w:w="120" w:type="dxa"/>
            <w:vAlign w:val="bottom"/>
          </w:tcPr>
          <w:p>
            <w:pPr>
              <w:spacing w:after="0"/>
              <w:rPr>
                <w:sz w:val="23"/>
                <w:szCs w:val="23"/>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 patent covering the mouthpiece design currently used in the PoNS device</w:t>
            </w:r>
          </w:p>
        </w:tc>
        <w:tc>
          <w:tcPr>
            <w:tcW w:w="0" w:type="dxa"/>
            <w:vAlign w:val="bottom"/>
          </w:tcPr>
          <w:p>
            <w:pPr>
              <w:spacing w:after="0"/>
              <w:rPr>
                <w:sz w:val="1"/>
                <w:szCs w:val="1"/>
                <w:color w:val="auto"/>
              </w:rPr>
            </w:pPr>
          </w:p>
        </w:tc>
      </w:tr>
      <w:tr>
        <w:trPr>
          <w:trHeight w:val="283"/>
        </w:trPr>
        <w:tc>
          <w:tcPr>
            <w:tcW w:w="1120" w:type="dxa"/>
            <w:vAlign w:val="bottom"/>
            <w:gridSpan w:val="2"/>
          </w:tcPr>
          <w:p>
            <w:pPr>
              <w:jc w:val="center"/>
              <w:ind w:left="20"/>
              <w:spacing w:after="0"/>
              <w:rPr>
                <w:sz w:val="20"/>
                <w:szCs w:val="20"/>
                <w:color w:val="auto"/>
              </w:rPr>
            </w:pPr>
            <w:r>
              <w:rPr>
                <w:rFonts w:ascii="Times New Roman" w:cs="Times New Roman" w:eastAsia="Times New Roman" w:hAnsi="Times New Roman"/>
                <w:sz w:val="18"/>
                <w:szCs w:val="18"/>
                <w:color w:val="auto"/>
                <w:w w:val="99"/>
              </w:rPr>
              <w:t>2015501881</w:t>
            </w:r>
          </w:p>
        </w:tc>
        <w:tc>
          <w:tcPr>
            <w:tcW w:w="112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6/3/2015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820" w:type="dxa"/>
            <w:vAlign w:val="bottom"/>
            <w:gridSpan w:val="3"/>
          </w:tcPr>
          <w:p>
            <w:pPr>
              <w:jc w:val="center"/>
              <w:ind w:left="74"/>
              <w:spacing w:after="0"/>
              <w:rPr>
                <w:sz w:val="20"/>
                <w:szCs w:val="20"/>
                <w:color w:val="auto"/>
              </w:rPr>
            </w:pPr>
            <w:r>
              <w:rPr>
                <w:rFonts w:ascii="Times New Roman" w:cs="Times New Roman" w:eastAsia="Times New Roman" w:hAnsi="Times New Roman"/>
                <w:sz w:val="18"/>
                <w:szCs w:val="18"/>
                <w:color w:val="auto"/>
              </w:rPr>
              <w:t>98947</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7/16/2016</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 patent covering the controller design currently used in the PoNS device</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2"/>
          </w:tcPr>
          <w:p>
            <w:pPr>
              <w:jc w:val="right"/>
              <w:ind w:right="5337"/>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Canadian</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Canadian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00" w:type="dxa"/>
            <w:vAlign w:val="bottom"/>
          </w:tcPr>
          <w:p>
            <w:pPr>
              <w:spacing w:after="0"/>
              <w:rPr>
                <w:sz w:val="12"/>
                <w:szCs w:val="12"/>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7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7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Design patent covering system design used in the current PoNS device</w:t>
            </w:r>
          </w:p>
        </w:tc>
        <w:tc>
          <w:tcPr>
            <w:tcW w:w="0" w:type="dxa"/>
            <w:vAlign w:val="bottom"/>
          </w:tcPr>
          <w:p>
            <w:pPr>
              <w:spacing w:after="0"/>
              <w:rPr>
                <w:sz w:val="1"/>
                <w:szCs w:val="1"/>
                <w:color w:val="auto"/>
              </w:rPr>
            </w:pPr>
          </w:p>
        </w:tc>
      </w:tr>
      <w:tr>
        <w:trPr>
          <w:trHeight w:val="247"/>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162672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162671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Design patent covering an alternative mouthpiece not used in the current PoNS</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162674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Design patent covering mouthpiece used in the current PoNS device</w:t>
            </w:r>
          </w:p>
        </w:tc>
        <w:tc>
          <w:tcPr>
            <w:tcW w:w="0" w:type="dxa"/>
            <w:vAlign w:val="bottom"/>
          </w:tcPr>
          <w:p>
            <w:pPr>
              <w:spacing w:after="0"/>
              <w:rPr>
                <w:sz w:val="1"/>
                <w:szCs w:val="1"/>
                <w:color w:val="auto"/>
              </w:rPr>
            </w:pPr>
          </w:p>
        </w:tc>
      </w:tr>
      <w:tr>
        <w:trPr>
          <w:trHeight w:val="265"/>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162675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Design patent covering an alternative controller not used in the current PoNS</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162670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Design patent covering the controller used in the PoNS device</w:t>
            </w:r>
          </w:p>
        </w:tc>
        <w:tc>
          <w:tcPr>
            <w:tcW w:w="0" w:type="dxa"/>
            <w:vAlign w:val="bottom"/>
          </w:tcPr>
          <w:p>
            <w:pPr>
              <w:spacing w:after="0"/>
              <w:rPr>
                <w:sz w:val="1"/>
                <w:szCs w:val="1"/>
                <w:color w:val="auto"/>
              </w:rPr>
            </w:pPr>
          </w:p>
        </w:tc>
      </w:tr>
      <w:tr>
        <w:trPr>
          <w:trHeight w:val="28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162673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6/2/2015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Issued</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162673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2/29/2016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Design patent covering system design used in the current PoNS device</w:t>
            </w:r>
          </w:p>
        </w:tc>
        <w:tc>
          <w:tcPr>
            <w:tcW w:w="0" w:type="dxa"/>
            <w:vAlign w:val="bottom"/>
          </w:tcPr>
          <w:p>
            <w:pPr>
              <w:spacing w:after="0"/>
              <w:rPr>
                <w:sz w:val="1"/>
                <w:szCs w:val="1"/>
                <w:color w:val="auto"/>
              </w:rPr>
            </w:pPr>
          </w:p>
        </w:tc>
      </w:tr>
      <w:tr>
        <w:trPr>
          <w:trHeight w:val="367"/>
        </w:trPr>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EU</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Community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0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EU Community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Design Reg. No.</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Borders>
              <w:top w:val="single" w:sz="8" w:color="auto"/>
            </w:tcBorders>
          </w:tcPr>
          <w:p>
            <w:pPr>
              <w:jc w:val="center"/>
              <w:ind w:left="19"/>
              <w:spacing w:after="0" w:line="191" w:lineRule="exact"/>
              <w:rPr>
                <w:sz w:val="20"/>
                <w:szCs w:val="20"/>
                <w:color w:val="auto"/>
              </w:rPr>
            </w:pPr>
            <w:r>
              <w:rPr>
                <w:rFonts w:ascii="Times New Roman" w:cs="Times New Roman" w:eastAsia="Times New Roman" w:hAnsi="Times New Roman"/>
                <w:sz w:val="18"/>
                <w:szCs w:val="18"/>
                <w:color w:val="auto"/>
              </w:rPr>
              <w:t>002712026</w:t>
            </w: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ind w:left="24"/>
              <w:spacing w:after="0" w:line="191" w:lineRule="exact"/>
              <w:rPr>
                <w:sz w:val="20"/>
                <w:szCs w:val="20"/>
                <w:color w:val="auto"/>
              </w:rPr>
            </w:pPr>
            <w:r>
              <w:rPr>
                <w:rFonts w:ascii="Times New Roman" w:cs="Times New Roman" w:eastAsia="Times New Roman" w:hAnsi="Times New Roman"/>
                <w:sz w:val="18"/>
                <w:szCs w:val="18"/>
                <w:color w:val="auto"/>
                <w:w w:val="99"/>
              </w:rPr>
              <w:t>6/3/2015</w:t>
            </w: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Issued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5"/>
          </w:tcPr>
          <w:p>
            <w:pPr>
              <w:jc w:val="center"/>
              <w:ind w:left="150"/>
              <w:spacing w:after="0" w:line="191" w:lineRule="exact"/>
              <w:rPr>
                <w:sz w:val="20"/>
                <w:szCs w:val="20"/>
                <w:color w:val="auto"/>
              </w:rPr>
            </w:pPr>
            <w:r>
              <w:rPr>
                <w:rFonts w:ascii="Times New Roman" w:cs="Times New Roman" w:eastAsia="Times New Roman" w:hAnsi="Times New Roman"/>
                <w:sz w:val="18"/>
                <w:szCs w:val="18"/>
                <w:color w:val="auto"/>
              </w:rPr>
              <w:t>002712026-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4"/>
          </w:tcPr>
          <w:p>
            <w:pPr>
              <w:ind w:left="20"/>
              <w:spacing w:after="0" w:line="191" w:lineRule="exact"/>
              <w:rPr>
                <w:sz w:val="20"/>
                <w:szCs w:val="20"/>
                <w:color w:val="auto"/>
              </w:rPr>
            </w:pPr>
            <w:r>
              <w:rPr>
                <w:rFonts w:ascii="Times New Roman" w:cs="Times New Roman" w:eastAsia="Times New Roman" w:hAnsi="Times New Roman"/>
                <w:sz w:val="18"/>
                <w:szCs w:val="18"/>
                <w:color w:val="auto"/>
              </w:rPr>
              <w:t>9/4/2015</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Design patents covering several aspects of the system design currently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rPr>
              <w:t>0001 -002712026-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used in the PoNS device</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5"/>
          </w:tcPr>
          <w:p>
            <w:pPr>
              <w:jc w:val="center"/>
              <w:ind w:left="451"/>
              <w:spacing w:after="0"/>
              <w:rPr>
                <w:sz w:val="20"/>
                <w:szCs w:val="20"/>
                <w:color w:val="auto"/>
              </w:rPr>
            </w:pPr>
            <w:r>
              <w:rPr>
                <w:rFonts w:ascii="Times New Roman" w:cs="Times New Roman" w:eastAsia="Times New Roman" w:hAnsi="Times New Roman"/>
                <w:sz w:val="18"/>
                <w:szCs w:val="18"/>
                <w:color w:val="auto"/>
                <w:w w:val="99"/>
              </w:rPr>
              <w:t>0007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0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rPr>
              <w:t>006753877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8/23/2019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Issued</w:t>
            </w:r>
          </w:p>
        </w:tc>
        <w:tc>
          <w:tcPr>
            <w:tcW w:w="2500" w:type="dxa"/>
            <w:vAlign w:val="bottom"/>
            <w:gridSpan w:val="14"/>
          </w:tcPr>
          <w:p>
            <w:pPr>
              <w:jc w:val="right"/>
              <w:ind w:right="20"/>
              <w:spacing w:after="0"/>
              <w:rPr>
                <w:sz w:val="20"/>
                <w:szCs w:val="20"/>
                <w:color w:val="auto"/>
              </w:rPr>
            </w:pPr>
            <w:r>
              <w:rPr>
                <w:rFonts w:ascii="Times New Roman" w:cs="Times New Roman" w:eastAsia="Times New Roman" w:hAnsi="Times New Roman"/>
                <w:sz w:val="18"/>
                <w:szCs w:val="18"/>
                <w:color w:val="auto"/>
              </w:rPr>
              <w:t>006753877-0001 -   10/24/2019</w:t>
            </w:r>
          </w:p>
        </w:tc>
        <w:tc>
          <w:tcPr>
            <w:tcW w:w="120" w:type="dxa"/>
            <w:vAlign w:val="bottom"/>
          </w:tcPr>
          <w:p>
            <w:pPr>
              <w:spacing w:after="0"/>
              <w:rPr>
                <w:sz w:val="23"/>
                <w:szCs w:val="23"/>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Design patents covering the controller design used in the PoNS device</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8"/>
          </w:tcPr>
          <w:p>
            <w:pPr>
              <w:jc w:val="center"/>
              <w:ind w:left="11"/>
              <w:spacing w:after="0"/>
              <w:rPr>
                <w:sz w:val="20"/>
                <w:szCs w:val="20"/>
                <w:color w:val="auto"/>
              </w:rPr>
            </w:pPr>
            <w:r>
              <w:rPr>
                <w:rFonts w:ascii="Times New Roman" w:cs="Times New Roman" w:eastAsia="Times New Roman" w:hAnsi="Times New Roman"/>
                <w:sz w:val="18"/>
                <w:szCs w:val="18"/>
                <w:color w:val="auto"/>
              </w:rPr>
              <w:t>006753877-0008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Design</w:t>
            </w:r>
          </w:p>
        </w:tc>
        <w:tc>
          <w:tcPr>
            <w:tcW w:w="10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restart"/>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3"/>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rPr>
              <w:t>201914827</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8"/>
              </w:rPr>
              <w:t>8/26/2019</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Issued</w:t>
            </w:r>
          </w:p>
        </w:tc>
        <w:tc>
          <w:tcPr>
            <w:tcW w:w="100" w:type="dxa"/>
            <w:vAlign w:val="bottom"/>
            <w:gridSpan w:val="2"/>
          </w:tcPr>
          <w:p>
            <w:pPr>
              <w:spacing w:after="0"/>
              <w:rPr>
                <w:sz w:val="19"/>
                <w:szCs w:val="19"/>
                <w:color w:val="auto"/>
              </w:rPr>
            </w:pPr>
          </w:p>
        </w:tc>
        <w:tc>
          <w:tcPr>
            <w:tcW w:w="11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201914827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color w:val="auto"/>
              </w:rPr>
              <w:t>10/8/2019</w:t>
            </w:r>
          </w:p>
        </w:tc>
        <w:tc>
          <w:tcPr>
            <w:tcW w:w="100" w:type="dxa"/>
            <w:vAlign w:val="bottom"/>
          </w:tcPr>
          <w:p>
            <w:pPr>
              <w:spacing w:after="0"/>
              <w:rPr>
                <w:sz w:val="19"/>
                <w:szCs w:val="19"/>
                <w:color w:val="auto"/>
              </w:rPr>
            </w:pPr>
          </w:p>
        </w:tc>
        <w:tc>
          <w:tcPr>
            <w:tcW w:w="5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Design patent covering system design used in the PoNS device</w:t>
            </w:r>
          </w:p>
        </w:tc>
        <w:tc>
          <w:tcPr>
            <w:tcW w:w="0" w:type="dxa"/>
            <w:vAlign w:val="bottom"/>
          </w:tcPr>
          <w:p>
            <w:pPr>
              <w:spacing w:after="0"/>
              <w:rPr>
                <w:sz w:val="1"/>
                <w:szCs w:val="1"/>
                <w:color w:val="auto"/>
              </w:rPr>
            </w:pPr>
          </w:p>
        </w:tc>
      </w:tr>
      <w:tr>
        <w:trPr>
          <w:trHeight w:val="265"/>
        </w:trPr>
        <w:tc>
          <w:tcPr>
            <w:tcW w:w="100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rPr>
              <w:t>201914900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8/28/2019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Issued</w:t>
            </w:r>
          </w:p>
        </w:tc>
        <w:tc>
          <w:tcPr>
            <w:tcW w:w="1200" w:type="dxa"/>
            <w:vAlign w:val="bottom"/>
            <w:gridSpan w:val="6"/>
          </w:tcPr>
          <w:p>
            <w:pPr>
              <w:jc w:val="center"/>
              <w:ind w:left="11"/>
              <w:spacing w:after="0"/>
              <w:rPr>
                <w:sz w:val="20"/>
                <w:szCs w:val="20"/>
                <w:color w:val="auto"/>
              </w:rPr>
            </w:pPr>
            <w:r>
              <w:rPr>
                <w:rFonts w:ascii="Times New Roman" w:cs="Times New Roman" w:eastAsia="Times New Roman" w:hAnsi="Times New Roman"/>
                <w:sz w:val="18"/>
                <w:szCs w:val="18"/>
                <w:color w:val="auto"/>
              </w:rPr>
              <w:t>201914900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10/24/2019</w:t>
            </w:r>
          </w:p>
        </w:tc>
        <w:tc>
          <w:tcPr>
            <w:tcW w:w="100" w:type="dxa"/>
            <w:vAlign w:val="bottom"/>
          </w:tcPr>
          <w:p>
            <w:pPr>
              <w:spacing w:after="0"/>
              <w:rPr>
                <w:sz w:val="23"/>
                <w:szCs w:val="23"/>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Design patent covering the controller design used in the PoNS device</w:t>
            </w:r>
          </w:p>
        </w:tc>
        <w:tc>
          <w:tcPr>
            <w:tcW w:w="0" w:type="dxa"/>
            <w:vAlign w:val="bottom"/>
          </w:tcPr>
          <w:p>
            <w:pPr>
              <w:spacing w:after="0"/>
              <w:rPr>
                <w:sz w:val="1"/>
                <w:szCs w:val="1"/>
                <w:color w:val="auto"/>
              </w:rPr>
            </w:pPr>
          </w:p>
        </w:tc>
      </w:tr>
      <w:tr>
        <w:trPr>
          <w:trHeight w:val="284"/>
        </w:trPr>
        <w:tc>
          <w:tcPr>
            <w:tcW w:w="100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rPr>
              <w:t>201914906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8/28/2019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Issued</w:t>
            </w:r>
          </w:p>
        </w:tc>
        <w:tc>
          <w:tcPr>
            <w:tcW w:w="1200" w:type="dxa"/>
            <w:vAlign w:val="bottom"/>
            <w:gridSpan w:val="6"/>
          </w:tcPr>
          <w:p>
            <w:pPr>
              <w:jc w:val="center"/>
              <w:ind w:left="11"/>
              <w:spacing w:after="0"/>
              <w:rPr>
                <w:sz w:val="20"/>
                <w:szCs w:val="20"/>
                <w:color w:val="auto"/>
              </w:rPr>
            </w:pPr>
            <w:r>
              <w:rPr>
                <w:rFonts w:ascii="Times New Roman" w:cs="Times New Roman" w:eastAsia="Times New Roman" w:hAnsi="Times New Roman"/>
                <w:sz w:val="18"/>
                <w:szCs w:val="18"/>
                <w:color w:val="auto"/>
              </w:rPr>
              <w:t>201914906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10/23/2019</w:t>
            </w:r>
          </w:p>
        </w:tc>
        <w:tc>
          <w:tcPr>
            <w:tcW w:w="10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Design patent covering the mouthpiece design used in the PoNS device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we have seven foreign utility patent applications that are currently pending: one application in Australia, and two applications in each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Canada, Europe, and Russia and three design patent applications that are currently pending in Russia: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Australian</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6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2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9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1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gridSpan w:val="2"/>
            <w:vMerge w:val="continue"/>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2019246836</w:t>
            </w:r>
          </w:p>
        </w:tc>
        <w:tc>
          <w:tcPr>
            <w:tcW w:w="120" w:type="dxa"/>
            <w:vAlign w:val="bottom"/>
          </w:tcPr>
          <w:p>
            <w:pPr>
              <w:spacing w:after="0"/>
              <w:rPr>
                <w:sz w:val="16"/>
                <w:szCs w:val="16"/>
                <w:color w:val="auto"/>
              </w:rPr>
            </w:pPr>
          </w:p>
        </w:tc>
        <w:tc>
          <w:tcPr>
            <w:tcW w:w="10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10/9/2019</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Pending</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6"/>
                <w:szCs w:val="16"/>
                <w:color w:val="auto"/>
              </w:rPr>
            </w:pPr>
          </w:p>
        </w:tc>
        <w:tc>
          <w:tcPr>
            <w:tcW w:w="4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6"/>
                <w:szCs w:val="16"/>
                <w:color w:val="auto"/>
              </w:rPr>
            </w:pPr>
          </w:p>
        </w:tc>
        <w:tc>
          <w:tcPr>
            <w:tcW w:w="6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Utility patent application covering methods of placing a mouthpiece in a patient’s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mouth prior to engaging in NINM</w:t>
            </w: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tcPr>
          <w:p>
            <w:pPr>
              <w:jc w:val="right"/>
              <w:ind w:right="5335"/>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9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Canadian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8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Canadian</w:t>
            </w:r>
          </w:p>
        </w:tc>
        <w:tc>
          <w:tcPr>
            <w:tcW w:w="1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140" w:type="dxa"/>
            <w:vAlign w:val="bottom"/>
            <w:vMerge w:val="continue"/>
          </w:tcPr>
          <w:p>
            <w:pPr>
              <w:spacing w:after="0"/>
              <w:rPr>
                <w:sz w:val="12"/>
                <w:szCs w:val="12"/>
                <w:color w:val="auto"/>
              </w:rPr>
            </w:pPr>
          </w:p>
        </w:tc>
        <w:tc>
          <w:tcPr>
            <w:tcW w:w="8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1900" w:type="dxa"/>
            <w:vAlign w:val="bottom"/>
            <w:vMerge w:val="continue"/>
          </w:tcPr>
          <w:p>
            <w:pPr>
              <w:spacing w:after="0"/>
              <w:rPr>
                <w:sz w:val="12"/>
                <w:szCs w:val="12"/>
                <w:color w:val="auto"/>
              </w:rPr>
            </w:pPr>
          </w:p>
        </w:tc>
        <w:tc>
          <w:tcPr>
            <w:tcW w:w="242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9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w:t>
            </w: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0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000" w:type="dxa"/>
            <w:vAlign w:val="bottom"/>
            <w:tcBorders>
              <w:top w:val="single" w:sz="8" w:color="auto"/>
            </w:tcBorders>
          </w:tcPr>
          <w:p>
            <w:pPr>
              <w:jc w:val="right"/>
              <w:ind w:right="97"/>
              <w:spacing w:after="0" w:line="191" w:lineRule="exact"/>
              <w:rPr>
                <w:sz w:val="20"/>
                <w:szCs w:val="20"/>
                <w:color w:val="auto"/>
              </w:rPr>
            </w:pPr>
            <w:r>
              <w:rPr>
                <w:rFonts w:ascii="Times New Roman" w:cs="Times New Roman" w:eastAsia="Times New Roman" w:hAnsi="Times New Roman"/>
                <w:sz w:val="18"/>
                <w:szCs w:val="18"/>
                <w:color w:val="auto"/>
              </w:rPr>
              <w:t>2969729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tcBorders>
            <w:gridSpan w:val="4"/>
          </w:tcPr>
          <w:p>
            <w:pPr>
              <w:jc w:val="right"/>
              <w:ind w:right="104"/>
              <w:spacing w:after="0" w:line="191" w:lineRule="exact"/>
              <w:rPr>
                <w:sz w:val="20"/>
                <w:szCs w:val="20"/>
                <w:color w:val="auto"/>
              </w:rPr>
            </w:pPr>
            <w:r>
              <w:rPr>
                <w:rFonts w:ascii="Times New Roman" w:cs="Times New Roman" w:eastAsia="Times New Roman" w:hAnsi="Times New Roman"/>
                <w:sz w:val="18"/>
                <w:szCs w:val="18"/>
                <w:color w:val="auto"/>
              </w:rPr>
              <w:t>6/2/2017</w:t>
            </w:r>
          </w:p>
        </w:tc>
        <w:tc>
          <w:tcPr>
            <w:tcW w:w="100" w:type="dxa"/>
            <w:vAlign w:val="bottom"/>
          </w:tcPr>
          <w:p>
            <w:pPr>
              <w:spacing w:after="0"/>
              <w:rPr>
                <w:sz w:val="16"/>
                <w:szCs w:val="16"/>
                <w:color w:val="auto"/>
              </w:rPr>
            </w:pPr>
          </w:p>
        </w:tc>
        <w:tc>
          <w:tcPr>
            <w:tcW w:w="780" w:type="dxa"/>
            <w:vAlign w:val="bottom"/>
            <w:tcBorders>
              <w:top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Pending</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6"/>
                <w:szCs w:val="16"/>
                <w:color w:val="auto"/>
              </w:rPr>
            </w:pPr>
          </w:p>
        </w:tc>
        <w:tc>
          <w:tcPr>
            <w:tcW w:w="44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6"/>
                <w:szCs w:val="16"/>
                <w:color w:val="auto"/>
              </w:rPr>
            </w:pPr>
          </w:p>
        </w:tc>
        <w:tc>
          <w:tcPr>
            <w:tcW w:w="650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Utility application covering overall system design, including controller and mouthpiece,</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authentication techniques</w:t>
            </w:r>
          </w:p>
        </w:tc>
        <w:tc>
          <w:tcPr>
            <w:tcW w:w="0" w:type="dxa"/>
            <w:vAlign w:val="bottom"/>
          </w:tcPr>
          <w:p>
            <w:pPr>
              <w:spacing w:after="0"/>
              <w:rPr>
                <w:sz w:val="1"/>
                <w:szCs w:val="1"/>
                <w:color w:val="auto"/>
              </w:rPr>
            </w:pPr>
          </w:p>
        </w:tc>
      </w:tr>
      <w:tr>
        <w:trPr>
          <w:trHeight w:val="265"/>
        </w:trPr>
        <w:tc>
          <w:tcPr>
            <w:tcW w:w="10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2969731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4"/>
          </w:tcPr>
          <w:p>
            <w:pPr>
              <w:jc w:val="right"/>
              <w:ind w:right="104"/>
              <w:spacing w:after="0"/>
              <w:rPr>
                <w:sz w:val="20"/>
                <w:szCs w:val="20"/>
                <w:color w:val="auto"/>
              </w:rPr>
            </w:pPr>
            <w:r>
              <w:rPr>
                <w:rFonts w:ascii="Times New Roman" w:cs="Times New Roman" w:eastAsia="Times New Roman" w:hAnsi="Times New Roman"/>
                <w:sz w:val="18"/>
                <w:szCs w:val="18"/>
                <w:color w:val="auto"/>
              </w:rPr>
              <w:t>6/2/2017</w:t>
            </w:r>
          </w:p>
        </w:tc>
        <w:tc>
          <w:tcPr>
            <w:tcW w:w="100" w:type="dxa"/>
            <w:vAlign w:val="bottom"/>
          </w:tcPr>
          <w:p>
            <w:pPr>
              <w:spacing w:after="0"/>
              <w:rPr>
                <w:sz w:val="23"/>
                <w:szCs w:val="23"/>
                <w:color w:val="auto"/>
              </w:rPr>
            </w:pPr>
          </w:p>
        </w:tc>
        <w:tc>
          <w:tcPr>
            <w:tcW w:w="9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Utility application covering various aspects of the mouthpiece such as shape, center of</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gravity, and the locators</w:t>
            </w:r>
          </w:p>
        </w:tc>
        <w:tc>
          <w:tcPr>
            <w:tcW w:w="0" w:type="dxa"/>
            <w:vAlign w:val="bottom"/>
          </w:tcPr>
          <w:p>
            <w:pPr>
              <w:spacing w:after="0"/>
              <w:rPr>
                <w:sz w:val="1"/>
                <w:szCs w:val="1"/>
                <w:color w:val="auto"/>
              </w:rPr>
            </w:pPr>
          </w:p>
        </w:tc>
      </w:tr>
      <w:tr>
        <w:trPr>
          <w:trHeight w:val="367"/>
        </w:trPr>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European</w:t>
            </w:r>
          </w:p>
        </w:tc>
        <w:tc>
          <w:tcPr>
            <w:tcW w:w="100" w:type="dxa"/>
            <w:vAlign w:val="bottom"/>
          </w:tcPr>
          <w:p>
            <w:pPr>
              <w:spacing w:after="0"/>
              <w:rPr>
                <w:sz w:val="24"/>
                <w:szCs w:val="24"/>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1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0" w:type="dxa"/>
            <w:vAlign w:val="bottom"/>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tcBorders>
              <w:top w:val="single" w:sz="8" w:color="auto"/>
            </w:tcBorders>
          </w:tcPr>
          <w:p>
            <w:pPr>
              <w:jc w:val="center"/>
              <w:ind w:left="17"/>
              <w:spacing w:after="0"/>
              <w:rPr>
                <w:sz w:val="20"/>
                <w:szCs w:val="20"/>
                <w:color w:val="auto"/>
              </w:rPr>
            </w:pPr>
            <w:r>
              <w:rPr>
                <w:rFonts w:ascii="Times New Roman" w:cs="Times New Roman" w:eastAsia="Times New Roman" w:hAnsi="Times New Roman"/>
                <w:sz w:val="18"/>
                <w:szCs w:val="18"/>
                <w:color w:val="auto"/>
              </w:rPr>
              <w:t>19183730.1</w:t>
            </w: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7/1/2019</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9"/>
                <w:szCs w:val="19"/>
                <w:color w:val="auto"/>
              </w:rPr>
            </w:pPr>
          </w:p>
        </w:tc>
        <w:tc>
          <w:tcPr>
            <w:tcW w:w="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Utility application covering overall system design, including controller and mouthpiece</w:t>
            </w:r>
          </w:p>
        </w:tc>
        <w:tc>
          <w:tcPr>
            <w:tcW w:w="0" w:type="dxa"/>
            <w:vAlign w:val="bottom"/>
          </w:tcPr>
          <w:p>
            <w:pPr>
              <w:spacing w:after="0"/>
              <w:rPr>
                <w:sz w:val="1"/>
                <w:szCs w:val="1"/>
                <w:color w:val="auto"/>
              </w:rPr>
            </w:pPr>
          </w:p>
        </w:tc>
      </w:tr>
      <w:tr>
        <w:trPr>
          <w:trHeight w:val="247"/>
        </w:trPr>
        <w:tc>
          <w:tcPr>
            <w:tcW w:w="100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auto"/>
              </w:rPr>
              <w:t>19190373.1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9"/>
              </w:rPr>
              <w:t>8/6/2019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1"/>
                <w:szCs w:val="21"/>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Utility patent application covering methods of placing a mouthpiece in a patient’s mouth</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prior to engaging in NINM</w:t>
            </w:r>
          </w:p>
        </w:tc>
        <w:tc>
          <w:tcPr>
            <w:tcW w:w="0" w:type="dxa"/>
            <w:vAlign w:val="bottom"/>
          </w:tcPr>
          <w:p>
            <w:pPr>
              <w:spacing w:after="0"/>
              <w:rPr>
                <w:sz w:val="1"/>
                <w:szCs w:val="1"/>
                <w:color w:val="auto"/>
              </w:rPr>
            </w:pPr>
          </w:p>
        </w:tc>
      </w:tr>
      <w:tr>
        <w:trPr>
          <w:trHeight w:val="367"/>
        </w:trPr>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Application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Russian</w:t>
            </w:r>
          </w:p>
        </w:tc>
        <w:tc>
          <w:tcPr>
            <w:tcW w:w="100" w:type="dxa"/>
            <w:vAlign w:val="bottom"/>
          </w:tcPr>
          <w:p>
            <w:pPr>
              <w:spacing w:after="0"/>
              <w:rPr>
                <w:sz w:val="24"/>
                <w:szCs w:val="24"/>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Patent</w:t>
            </w:r>
          </w:p>
        </w:tc>
        <w:tc>
          <w:tcPr>
            <w:tcW w:w="1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0" w:type="dxa"/>
            <w:vAlign w:val="bottom"/>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0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2019112637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8"/>
                <w:szCs w:val="18"/>
                <w:color w:val="auto"/>
              </w:rPr>
              <w:t>4/25/2019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Utility patent application covering aspects of the controller</w:t>
            </w:r>
          </w:p>
        </w:tc>
        <w:tc>
          <w:tcPr>
            <w:tcW w:w="0" w:type="dxa"/>
            <w:vAlign w:val="bottom"/>
          </w:tcPr>
          <w:p>
            <w:pPr>
              <w:spacing w:after="0"/>
              <w:rPr>
                <w:sz w:val="1"/>
                <w:szCs w:val="1"/>
                <w:color w:val="auto"/>
              </w:rPr>
            </w:pPr>
          </w:p>
        </w:tc>
      </w:tr>
      <w:tr>
        <w:trPr>
          <w:trHeight w:val="265"/>
        </w:trPr>
        <w:tc>
          <w:tcPr>
            <w:tcW w:w="110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2019109970</w:t>
            </w:r>
          </w:p>
        </w:tc>
        <w:tc>
          <w:tcPr>
            <w:tcW w:w="20" w:type="dxa"/>
            <w:vAlign w:val="bottom"/>
          </w:tcPr>
          <w:p>
            <w:pPr>
              <w:spacing w:after="0"/>
              <w:rPr>
                <w:sz w:val="23"/>
                <w:szCs w:val="23"/>
                <w:color w:val="auto"/>
              </w:rPr>
            </w:pPr>
          </w:p>
        </w:tc>
        <w:tc>
          <w:tcPr>
            <w:tcW w:w="11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4/4/2019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3"/>
                <w:szCs w:val="23"/>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3"/>
                <w:szCs w:val="23"/>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Utility patent application covering the locators of the mouthpiece</w:t>
            </w:r>
          </w:p>
        </w:tc>
        <w:tc>
          <w:tcPr>
            <w:tcW w:w="0" w:type="dxa"/>
            <w:vAlign w:val="bottom"/>
          </w:tcPr>
          <w:p>
            <w:pPr>
              <w:spacing w:after="0"/>
              <w:rPr>
                <w:sz w:val="1"/>
                <w:szCs w:val="1"/>
                <w:color w:val="auto"/>
              </w:rPr>
            </w:pPr>
          </w:p>
        </w:tc>
      </w:tr>
      <w:tr>
        <w:trPr>
          <w:trHeight w:val="283"/>
        </w:trPr>
        <w:tc>
          <w:tcPr>
            <w:tcW w:w="110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2019503625</w:t>
            </w:r>
          </w:p>
        </w:tc>
        <w:tc>
          <w:tcPr>
            <w:tcW w:w="20" w:type="dxa"/>
            <w:vAlign w:val="bottom"/>
          </w:tcPr>
          <w:p>
            <w:pPr>
              <w:spacing w:after="0"/>
              <w:rPr>
                <w:sz w:val="24"/>
                <w:szCs w:val="24"/>
                <w:color w:val="auto"/>
              </w:rPr>
            </w:pPr>
          </w:p>
        </w:tc>
        <w:tc>
          <w:tcPr>
            <w:tcW w:w="11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rPr>
              <w:t>8/28/2019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4"/>
                <w:szCs w:val="24"/>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Design patent application covering the mouthpiece design used in the PoNS device</w:t>
            </w:r>
          </w:p>
        </w:tc>
        <w:tc>
          <w:tcPr>
            <w:tcW w:w="0" w:type="dxa"/>
            <w:vAlign w:val="bottom"/>
          </w:tcPr>
          <w:p>
            <w:pPr>
              <w:spacing w:after="0"/>
              <w:rPr>
                <w:sz w:val="1"/>
                <w:szCs w:val="1"/>
                <w:color w:val="auto"/>
              </w:rPr>
            </w:pPr>
          </w:p>
        </w:tc>
      </w:tr>
      <w:tr>
        <w:trPr>
          <w:trHeight w:val="283"/>
        </w:trPr>
        <w:tc>
          <w:tcPr>
            <w:tcW w:w="110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2019503624</w:t>
            </w:r>
          </w:p>
        </w:tc>
        <w:tc>
          <w:tcPr>
            <w:tcW w:w="20" w:type="dxa"/>
            <w:vAlign w:val="bottom"/>
          </w:tcPr>
          <w:p>
            <w:pPr>
              <w:spacing w:after="0"/>
              <w:rPr>
                <w:sz w:val="24"/>
                <w:szCs w:val="24"/>
                <w:color w:val="auto"/>
              </w:rPr>
            </w:pPr>
          </w:p>
        </w:tc>
        <w:tc>
          <w:tcPr>
            <w:tcW w:w="11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rPr>
              <w:t>8/28/2019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4"/>
                <w:szCs w:val="24"/>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Design patent application covering the controller design used in the PoNS device</w:t>
            </w:r>
          </w:p>
        </w:tc>
        <w:tc>
          <w:tcPr>
            <w:tcW w:w="0" w:type="dxa"/>
            <w:vAlign w:val="bottom"/>
          </w:tcPr>
          <w:p>
            <w:pPr>
              <w:spacing w:after="0"/>
              <w:rPr>
                <w:sz w:val="1"/>
                <w:szCs w:val="1"/>
                <w:color w:val="auto"/>
              </w:rPr>
            </w:pPr>
          </w:p>
        </w:tc>
      </w:tr>
      <w:tr>
        <w:trPr>
          <w:trHeight w:val="284"/>
        </w:trPr>
        <w:tc>
          <w:tcPr>
            <w:tcW w:w="110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2019503623</w:t>
            </w:r>
          </w:p>
        </w:tc>
        <w:tc>
          <w:tcPr>
            <w:tcW w:w="20" w:type="dxa"/>
            <w:vAlign w:val="bottom"/>
          </w:tcPr>
          <w:p>
            <w:pPr>
              <w:spacing w:after="0"/>
              <w:rPr>
                <w:sz w:val="24"/>
                <w:szCs w:val="24"/>
                <w:color w:val="auto"/>
              </w:rPr>
            </w:pPr>
          </w:p>
        </w:tc>
        <w:tc>
          <w:tcPr>
            <w:tcW w:w="11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rPr>
              <w:t>8/28/2019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4"/>
                <w:szCs w:val="24"/>
                <w:color w:val="auto"/>
              </w:rPr>
            </w:pP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Design patent application covering the system design used in the PoNS device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Currently, we own rights in four trademarks: PoNS,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Helius, Helius Medical, and Helius Medical Technologies marks.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the owner of the rights in PoNS, Helius and Helius Medical Technologies marks in Canada. We have also applied for the PoNS trademark in Europe, Russia, China, Australia, New Zealand and Israel. We have also applied for the Helius mark in the U.S., Australia and Canada, and the Helius Medical mark in the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products under development and our operations are subject to significant government regulation. In the United States, our products are regulated as medical devices by the FDA and other federal, state, and local regulatory authorities. The following is a general description of the review and marketing authorization process of the FDA for medical devices.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Medical Devices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FDA and other U.S. and foreign governmental agencies regulate, among other things, the following activities with respect to medical devices:</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safety;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and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United States, numerous laws and regulations govern all the processes by which medical devices are brought to market and marketed. These include the Food, Drug, and Cosmetic, or FD&amp;C Act and the FDA’s implementation of regulations, among others.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Review, Clearance and Approval Processes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premarket approval, or PMA, or approval of a de novo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Class III devices, consisting of devices deemed by the FDA to pose the greatest risk, such as life-sustaining, life-supporting or implantable devices, or devices deemed not substantially equivalent to a predicate device.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PoNS device is regulated as a Class II medical device. We utilized the de novo classification procedures to seek U.S. marketing authorization for the PoNS device for gait deficit in MS, because there is no predicate cleared or approved by the FDA for commercial distribution and no existing classification decision by the FDA for such a device.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FDA requires us to go through a lengthier, more rigorous examination for the PoNS device for gait deficit in MS, introducing the product could be delayed or canceled, which could cause our commercial launch for the PoNS device for gait deficit in MS in the United States to be delayed or to not occur. In addition, the FDA may determine that the PoNS device requires the more costly, lengthy and uncertain PMA process. For example, if the FDA disagrees with our determination that the de novo classification procedures are the appropriate path to obtain marketing authorizations for the PoNS device in MS,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clearances with respect to our PoNS device.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9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utilized the de novo classification process to request our marketing authorization for the PoNS device for gait deficit in MS, and we plan to seek Class II classification. In order to be placed in Class II, the FDA would need reasonable assurance of safety and effectiveness of the PoNS device. Under Class II, general controls (e.g., premarket notification) and special controls (e.g., specific performance testing) would be applicable.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Obtaining FDA marketing authorization, de novo classification and clearance, or approval for medical devices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U.S. Food and Drug Administration Regulation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‘‘off-label’’ uses of cleared or approved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 party payers will play a primary role in the recommendation and use of any products for which we obtain marketing approval. Our future arrangements with third party payers, healthcare providers and physicians may expose us to broadly applicable fraud and abuse and other healthcare laws and regulations that may constrain the business or financial arrangements and relationships through which we market, sell and distribute any device for which we obtain marketing approval. In the United States, our activities are potentially subject to regulation by various federal, state and local authorities in addition to the FDA, including the CMS, other divisions of the United States Department of Health and Human Services (e.g., the Office of Inspector General), the United States Department of Justice and individual United States Attorney offices within the Department of Justice, and state and local governments. The applicable laws and regulations include the federal health care programs Anti-Kickback Statute (“AKS”) and the federal Civil False Claims Act.</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AKS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recommendation, or order of a particular device, for which payment may be made under a federal healthcare program, such as Medicare or Medicaid. Violations of this law are punishable by up to ten years in prison, criminal fines, administrative civil money penalties and exclusion from participation in federal healthcare programs. In addition, a person or entity does not need to have actual knowledge of the statute or specific intent to violate it.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making a false statement or record material to payment of a false claim or avoiding, decreasing or concealing an obligation to pay money to the federal government. Penalties for a False Claims Act violation include three times the actual damages sustained by the government, plus mandatory civil penalties of between $11,463 and $22,927 (adjusted annually for inflation) for each separate false claim and the potential for exclusion from participation in federal healthcare programs. Conduct that violates the False Claims Act also may implicate various federal criminal statutes.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AKS also are deemed false or fraudulent claims for purposes of the False Claims Act. Our future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Canada</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After a medical device has been approved for commercial use in Canada, there are a number of Health Canada requirements that must be adhered to including but not limited to the following:</w:t>
      </w:r>
    </w:p>
    <w:p>
      <w:pPr>
        <w:spacing w:after="0" w:line="189"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license renewals;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which prohibit “misbranded” devices from entering the market, as well as prohibit on the promotion of products for unapproved or “off-label” use and impose other restrictions on labeling;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product modifications for significant changes that would require license amendments;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post-approval restrictions or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submitted an application for a CE Mark of the PoNS device with our UK based notified body in December 2018. In August 2019 we withdrew our application from the EU marketing process due to notified body activities being delayed by Brexit and the upcoming medical devices regulation changes. We have engaged G-MED NA as our notified body and will reconsider submitting to the EU when conditions stabilize. The successful completion of this review would result in marketing authorization for the sale of the PoNS device in the EU. Some EU member states have additional notification requirements that we expect to satisfy before we launch our PoNS Treatment in those member states. Once the PoNS device is placed into the EU market, post-market requirements apply including but not limited to:</w:t>
      </w:r>
    </w:p>
    <w:p>
      <w:pPr>
        <w:spacing w:after="0" w:line="9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labeling promotes only approved use(s) of the device;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product modifications for significant changes may require license amendments;</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post-approval restrictions or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submitted our application for marketing authorization to the TGA during the third quarter of 2019. We supplemented our submission with additional data based on questions supplied to date and provided responses to additional questions during the third quarter of 2020. We are currently awaiting additional feedback from the TGA on our application.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Third-Party Payer Coverage and Reimbursement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Significant uncertainty exists as to whether coverage and reimbursement of the PoNS Treatment will develop; but we intend to seek reimbursement through private or governmental third-party payers in the future. In both the United States and foreign markets, our ability to commercialize the PoNS device successfully, and to attract commercialization partners for the PoNS device, depends in part on the availability of adequate financial coverage and reimbursement from third-party payers, including, in the United States, governmental payers such as the Medicare and Medicaid programs, managed care organizations, and private health insurers. Medicare is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federally funded program managed by the CMS, through local contractors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and it is both federally and state funded and managed by each state. The federal government sets general guidelines for Medicaid and each state creates specific regulations or other guidelines that govern its individual program. Each payer, whether governmental or private, has its own process and standards for determining whether it will cover and reimburse a procedure or particular product. Private payers often rely on the lead of the governmental payers in rendering coverage and reimbursement determinations. Therefore, achieving favorable CMS coverage and reimbursement is usually a significant gating issue for successful introduction of a new product. On January 12, 2021, the CMS stated that it is finalizing a new Medicare coverage pathway, Medicare Coverage of Innovative Technology, or “MCIT,” for FDA-designated breakthrough medical devices. The MCIT rule will provide national Medicare coverage as early as the same day as FDA market authorization for breakthrough devices and coverage would last for four years. The competitive position of the PoNS device will depend, in part, upon the extent of coverage and adequate reimbursement for such product and for the procedures in which such product is used. Prices at which we or our customers seek reimbursement for the PoNS device can be subject to challenge, reduction or denial by the government and other payers.</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event we do receive approval for third-party or government reimbursement for our product, the marketability of such product may suffer if the government and commercial third-party payers fail to provide adequate coverage and reimbursement. An emphasis on cost containment measures in the United States has increased and we expect it will continue. Coverage policies and third-party reimbursement rates may change at any time. Even if favorable coverage and reimbursement status is attained if and when we receive regulatory approval, less favorable coverage policies and reimbursement rates may be implemented in the future.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State and federal healthcare reform measures may be adopted in the future, any of which may result in additional reductions in Medicare and other healthcare funding and otherwise affect the prices we may obtain for our product candidate for which we may obtain regulatory approval or the frequency with which any such product candidate is prescribed or used.</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medical device must be approved before it may be lawfully marketed. The requirements governing medical device pricing vary widely from country to country. For example, the European Union provides options for its member states to restrict the range of medical devices for which their national health insurance systems provide reimbursement and to control the prices of medical devices. In some countries, we may be required to conduct a clinical study or other studies that compare the cost-effectiveness of our medical device to other available therapies in order to obtain or maintain reimbursement or pricing approval. Historically, products launched in the European Union do not follow price structures of the United States and generally tend to be priced significantly lower. Publication of discounts by third-party payers or authorities may lead to further pressure on the prices or reimbursement levels within the country of publication and other countries. If pricing is set at unsatisfactory levels or if reimbursement of our medical device is unavailable or limited in scope or amount, our revenues from sales by us or our strategic partners and the potential profitability of any of our medical devices in those countries would be negatively affected.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Privacy and Security Laws; Breaches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many of the more ambiguous provisions of the CCPA have yet to be fully interpreted and applied, and numerous amendments have been proposed and are working their way through legislature. Consequently, the CCPA currently presents many compliance questions that remain unresolved. The CCPA may increase our compliance costs and potential liability. In addition to the CCPA, numerous other states’ legislatures are considering similar laws that will require ongoing compliance efforts and investment.</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European Union, 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 million or up to 4% of the total worldwide annual turnover of the preceding financial year, whichever is higher, and other administrative penalties.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History Highlights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Formation and Arrangement with Boomerang Oil, Inc.</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issuer in Canada and for us to complete a reverse take-over of 0995162 B.C. Ltd. As a result of the arrangement agreement, we became a reporting issuer in the provinces of British Columbia and Alberta. In addition, the arrangement resulted in 0995162 B.C. Ltd. becoming our wholly owned subsidiary. The assets of 0995162 B.C. Ltd. consisted of cash and 0995162 B.C. Ltd.’s interest in a letter agreement pursuant to which it had agreed to acquire all of the outstanding shares of HMI, a Delaware corporation, and to seek a listing on a recognized stock exchange.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Reincorporation in Wyoming</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NeuroHabilitation Corporation and Concurrent Financing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June 13, 2014, we completed the acquisition of NeuroHabilitation Corporation, or NHC, by way of an agreement and plan of merger. We refer to this transaction as the Reverse Merger. Pursuant to the agreement and plan of merger, HMT Mergersub, Inc., our wholly owned subsidiary, merged with and into NHC with NHC as the surviving corporation. In connection with the Reverse Merger, we issued an aggregate of 201,714 shares of our common stock to the former shareholders of HMI. The Reverse Merger was deemed to be a capital transaction in substance and recorded as a reverse recapitalization of NHC whereby NHC is deemed to be the continuing, surviving entity for accounting purposes, but through reorganization, has deemed to have adopted the capital structure of Helius. On December 21, 2018, NHC changed its name to Helius Medical, Inc.</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Reverse Merger, we completed a non-brokered private placement financing of $7.02 million (CAD$7.62 million) by issuing 87,085 subscription receipts. Pursuant to its terms, each subscription receipt automatically converted into one unit upon satisfaction of certain escrow release conditions, which had been satisfied. Each unit consisted of one share of our common stock and one-half of one share purchase warrant with each whole warrant being exercisable at CAD$175.00 per share for a period of two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Functional Currency</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April 1, 2018, our functional currency was the Canadian dollar, or CAD$. We re-assessed our functional currency and as of April 1, 2018, our functional currency changed from the CAD$ to the U.S. dollar based on management’s analysis of changes in the primary economic environment in which we operate. The change in functional currency was accounted for prospectively from April 1, 2018 and financial statements prior to and including the period ended March 31, 2018 were not restated for the change in functional currency.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Reincorporation in Delaware</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On June 28, 2018, at our 2018 Annual Meeting of Shareholders, our shareholders approved our reincorporation from the state of Wyoming to the state of Delaware. On July 20, 2018, we completed the reincorporation to the state of Delaware.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Formation of Helius NeuroRehab Inc.</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January 2019, we formed Helius NeuroRehab, Inc., or HNR, a Delaware corporation, which is a wholly owned subsidiary of Helius Medical Technologies, Inc. to operate a clinic focusing on the delivery of PoNS Treatment to patients with balance and gait disorders if and when FDA clearance is received.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Formation of Helius Canada Acquisition Ltd.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October 10, 2019, we formed Helius Canada Acquisition Ltd., or HCA, a company incorporated under the federal laws of Canada, which is a wholly owned subsidiary of Helius Medical Technologies (Canada), Inc., or HMC, a company incorporated under the federal laws of Canada, which acquired Heuro Canada, Inc., or Heuro, from Health Tech Connex Inc., or HTC, on October 30, 2019 (see Note 2 to our audited consolidated financial statements included elsewhere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Heuro Canada Inc.</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October 30, 2019, we acquired Heuro, a company incorporated under the federal laws of Canada, which is a wholly owned subsidiary of HCA, from HTC (see Note 2 to our audited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our Reverse Merger, we obtained approval of the listing of our common stock on the Canadian Securities Exchange, or CSE, on</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June 23, 2014. On April 18, 2016, our common stock was listed on the TSX under the symbol “HSM.” At the same time, we delisted our common stock from the CSE. The Company’s common stock also began trading on the OTC Markets, or OTCQB, under the ticker symbol “HSDT” on February 10, 2015. On April 11, 2018, our common stock began trading on the Nasdaq Capital Market under the ticker symbol “HSDT” and ceased to trade on the OTCBQ.</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March 23, 2020, the Company received notice from the Staff of Nasdaq that the bid price for the Company’s common stock had closed below $1.00 per share for the prior 30-consecutive business day period and that the Company had been granted a 180-day grace period, through September 21, 2020, to regain compliance with Nasdaq Marketplace Rule 5550(a)(2) (the “Minimum Bid Price Rule”). Thereafter, on April 17, 2020, the Company received an additional notice from the Staff indicating that Nasdaq had temporarily stayed enforcement of the Minimum Bid Price Rule through June 30, 2020 and, accordingly, the 180-day grace period applicable to the Company would not expire until December 3, 2020.</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December 4, 2020, the Company received notice from the Staff indicating that the Company was not eligible for an additional 180 day extension to meet the Minimum Bid Price Rule.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any extension granted by the Panel expires.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Effective after the close of business on January 22, 2018, we completed a 1-for-5 reverse stock split of our common stock. All share and per share amounts in this prospectus have been reflected on a post-split basis. 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 Following such meeting, our board of directors approved a final reverse stock split ratio of 1-for-35. The reverse stock split did not change the par value of our stock or the authorized number of common or preferred shares. All share and per share amounts for all periods presented in this prospectus and the registration statement of which it forms a part have been retroactively adjusted for the reverse stock split effected on December 31, 2020.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prospectus or the registration statement of which it forms a part. Additionally, the SEC maintains a website that contains annual, quarterly, and current reports, proxy statements, and other information that issuers (including us) file electronically with the SEC. The SEC’s website address is http://www.sec.gov.</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As of September 30, 2020, we had 18 full time employees, no part time employees and 1 full time consultant and 6 part time consultants. Given the change in our United States regulatory timeline in 2019, we prioritized our resources to support our resubmission to the FDA and commercialization efforts in Canada and reduced our workforce by over 30% to scale back the staff that was hired to prepare for our commercial launch in the United States while maintaining the necessary distribution, regulatory and quality system infrastructure to support our commercial launch in Canada.</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Our head office is located at 642 Newtown-Yardley Road, Suite 100, Newtown, PA 18940, with 2,500 square feet of lease office space. In May 2020, the Company terminated its lease and entered into a new lease (the “Lease Amendment”) for a smaller footprint of the current office space in Newtown, Pennsylvania. Lease payments under the original contract were made through December 2020. In January 2021, we signed a Lease Amendment extending our current lease term from July 1, 2020 through September 30, 2021, which may be extended on a month-to-month basis. Monthly rent plus utilities is approximately $5 thousand per month with a 3% annual increase. We believe our current facilities are adequate for our needs.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as to each person who is, as of the filing hereof, a director and/or executive officer of the Company: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9"/>
              </w:rPr>
              <w:t>Dane</w:t>
            </w:r>
          </w:p>
        </w:tc>
        <w:tc>
          <w:tcPr>
            <w:tcW w:w="292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C. Andreeff</w:t>
            </w:r>
          </w:p>
        </w:tc>
        <w:tc>
          <w:tcPr>
            <w:tcW w:w="5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0"/>
              </w:rPr>
              <w:t>Interim</w:t>
            </w:r>
          </w:p>
        </w:tc>
        <w:tc>
          <w:tcPr>
            <w:tcW w:w="376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Joyce LaViscount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Sackier</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 Straw</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Mitchell E. Tyler</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Blane Walter</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Mathiesen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Family Relationships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family relationship between any director and executive officer or among any directors or executive officers.</w:t>
      </w:r>
    </w:p>
    <w:p>
      <w:pPr>
        <w:spacing w:after="0" w:line="329" w:lineRule="exact"/>
        <w:rPr>
          <w:sz w:val="20"/>
          <w:szCs w:val="20"/>
          <w:color w:val="auto"/>
        </w:rPr>
      </w:pPr>
    </w:p>
    <w:p>
      <w:pPr>
        <w:ind w:left="120" w:right="53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Business Experience and Background of Directors and Executive Officers </w:t>
      </w:r>
      <w:r>
        <w:rPr>
          <w:rFonts w:ascii="Times New Roman" w:cs="Times New Roman" w:eastAsia="Times New Roman" w:hAnsi="Times New Roman"/>
          <w:sz w:val="18"/>
          <w:szCs w:val="18"/>
          <w:b w:val="1"/>
          <w:bCs w:val="1"/>
          <w:i w:val="1"/>
          <w:iCs w:val="1"/>
          <w:color w:val="auto"/>
        </w:rPr>
        <w:t>Dane C. Andreeff</w:t>
      </w:r>
    </w:p>
    <w:p>
      <w:pPr>
        <w:spacing w:after="0" w:line="2"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Mr. Andreeff has served as our Interim President and Chief Executive Officer since August 2020 and as a member of our Board of Directors since August 2017. Mr. Andreeff is the General Partner and Portfolio Manager at Maple Leaf Partners, LP, which owns approximately 6.0% of our outstanding common stock. Maple Leaf Partners, LP is a hedge fund founded by Mr. Andreeff, where he has been employed since 1996. In 2003, the fund was seeded by Julian Robertson’s Tiger Management and later grew to over $2 billion in assets under management. Mr. Andreeff also serves as a member of the board of directors of TraceSecurity, LLC, HDL Therapeutics, Inc. and Myocardial Solutions, Ltd. Mr. Andreeff received his Bachelor’s degree in Economics from the University of Texas at Arlington in 1989 and his Master’s degree in Economics from the University of Texas at Arlington in 1991. The Board believes that Mr. Andreeff’s extensive experience in the investment industry and capital markets and significant experience advising other companies as a board member, including multiple companies in the healthcare sector, make him a valuable member of the Board.</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Joyce LaViscount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Ms. LaViscount has served as our Chief Financial Officer and Chief Operating Officer since October 2015, and she previously served as a member of our Board of Directors from March 2015 to December 2015. Prior to joining Helius, Ms. LaViscount served as chief operating officer and chief financial officer of MM Health Solutions, formerly MediMedia Health, from July 2012 to August 2015. Ms. LaViscount concurrently served as the chief financial officer of MediMedia Pharmaceutical Solutions from January 2014 to February 2015. Previously, Ms. LaViscount served as executive director/group controller North America of Aptalis Pharmaceuticals from February 2011 to July 2012. Ms. LaViscount is a Certified Public Accountant. She received a B.A. in business with a concentration in accounting from Franklin and Marshall College in 1984.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Jonathan Sackier</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Dr. Sackier has served as our Chief Medical Officer since December 2014. He has also served as a Visiting Professor of Surgery at the Nuffield Department of Surgical Sciences at Oxford University since 2014. From 2005 to 2014, Dr. Sackier was a Visiting Professor of Surgery at the University of Virginia and prior to that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 xml:space="preserve">served as a Clinical Professor at the George Washington University. Dr. Sackier has served as a director of Kypha, Inc. since July 2014, Clinvue LLC since July 2010, Brandon Medical since May 2013 and SoundPipe Therapeutics since September 2013. He previously served as a director of HemoShear Therapeutics, LLC from 2008 to 2015. He is a trustee of First Star and previously chaired the Larry King Cardiac Foundation Board of Governors. A keen pilot, Jonathan advises the Aircraft Owners &amp; Pilots Association on medical issues germane to pilots and authors the “Fly Well” column in the association’s </w:t>
      </w:r>
      <w:r>
        <w:rPr>
          <w:rFonts w:ascii="Times New Roman" w:cs="Times New Roman" w:eastAsia="Times New Roman" w:hAnsi="Times New Roman"/>
          <w:sz w:val="18"/>
          <w:szCs w:val="18"/>
          <w:i w:val="1"/>
          <w:iCs w:val="1"/>
          <w:color w:val="auto"/>
        </w:rPr>
        <w:t>Pilot</w:t>
      </w:r>
      <w:r>
        <w:rPr>
          <w:rFonts w:ascii="Times New Roman" w:cs="Times New Roman" w:eastAsia="Times New Roman" w:hAnsi="Times New Roman"/>
          <w:sz w:val="18"/>
          <w:szCs w:val="18"/>
          <w:color w:val="auto"/>
        </w:rPr>
        <w:t xml:space="preserve"> magazine.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Edward M. Straw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Vice Admiral Edward M. Straw, USN, (Retired) has served as a member of our Board of Directors since November 2014. He founded Osprey Venture Partners in 2011, a firm that mentors young entrepreneurs seeking investment capital and assists with business development and serves as the managing director. Previously he was president, global operations of The Estée Lauder Companies from 2000 to 2005, senior vice president global operations of the Compaq Computer Corporation from 1998 to 2000, and president of Ryder Integrated Logistics from 1996 to 1998. Prior to joining the private sector, he had a distinguished 35-year career in the U.S. Navy and retired as a three-star admiral. During his military service, Vice Admiral Straw was Director (CEO) of the Defense Logistics Agency, the largest military logistics command supporting the American armed forces. He is a member of the Defense Science Board, chairman of Odyssey Logistics and currently sits on the boards of The Boston Consulting Federal Group, Academy Securities and Lenitiv Scientific. He is a former board member of Eddie Bauer, MeadWestvaco, Ply Gem Industries and Panther Logistics. Vice Admiral Straw received a B.S. from the United States Naval Academy, an MBA from The George Washington University, and is a graduate of the National War College. Our Board of Directors believes that Vice Admiral Straw is qualified to serve as a director based on his extensive leadership experience in both the private sector and the U.S. military.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Mitchell E. Tyler</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Mr. Tyler has served as a member of our Board of Directors since June 2014. Mr. Tyler is a co-inventor of the PoNS device and is co-owner and clinical director of Advanced NeuroRehabilitation LLC, a position he has held since 2009. Mr. Tyler retired in 2019 after 32 years at the University of Wisconsin as emeritus Senior Lecturer in Biomedical Engineering and Researcher in Rehabilitation Medicine. From 1998 through 2017, Mr. Tyler also served as the clinical director of the Tactile Communication and NeuroRehabilitation Laboratory. He received his M.S. in Bioengineering from University of California, Berkeley in 1985 and is currently working on his Ph.D. in Biomedical Engineering at the University of Wisconsin–Madison. Mr. Tyler is a registered professional engineer in Wisconsin. Our Board of Directors believes that Mr. Tyler is qualified to serve as a director based on his extensive knowledge of PoNS treatment and his research and development experience in the medical device industry.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Blane Walter</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Mr. Walter has served as a member of our Board of Directors since December 2015 and as Chairman of the Board since August 2020. Mr. Walter is a partner at Talisman Capital Partners, a position he has held since 2011. In 1999, Mr. Walter founded inChord Communications, Inc., a global private healthcare communications company, which was acquired by inVentiv Health in 2005. Mr. Walter joined inVentiv Health as president of the Communications division in 2005 and was named Chief Executive Officer in 2008 and served in that capacity until leading the sale of the company to Thomas H. Lee Partners in 2010. Following the buyout, Mr. Walter served as vice chairman of inVentiv Group, a holding company which survived the buyout, from 2011 to August 2017. Mr. Walter received a B.S. in marketing and finance from Boston College in 1993. Our Board of Directors believes that Mr. Walter is qualified to serve as director based on his background in the healthcare and pharmaceutical industries.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Jeffrey S. Mathiesen</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Mr. Mathiesen has served as a member of our Board of Directors since June 2020. Additionally, Mr. Mathiesen has served as Vice Chair and Lead Independent Director since March 2020 and as Director and Audit Committee Chair, since 2015, of Panbela Therapeutics, Inc. (Nasdaq: PBLA), a publicly traded biopharmaceutical company developing therapies for pancreatic diseases. Mr. Mathiesen has also served as Director and Audit Committee Chair of NeuroOne Medical Technologies Corporation (OTCQB: NMTC), a publicly traded medical technology company providing neuromodulation continuous EEG monitoring and treatment solutions for patients suffering from epilepsy and other nerve related disorders, since 2017, and eNeura, Inc., a privately held medical technology company providing therapy for both acute treatment and prevention of migraine, from 2018 to 2020. Mr. Mathiesen served as Advisor to the CEO of Teewinot Life Sciences Corporation, a privately held global leader in the biosynthetic development and production of cannabinoids and their derivatives for consumer and pharmaceutical products, from October 2019 to December 2019, and served as Chief Financial Officer from March 2019 to October 2019. Mr. Mathiesen previously served as Chief Financial Officer of Gemphire Therapeutics Inc., which was acquired by NeuroBo Pharmaceuticals, Inc. (NASDAQ: NRBO) in January 2020, a publicly-held clinical-stage biopharmaceutical company developing therapies for patients with cardiometabolic disorders, from 2015 to 2018, and as Chief Financial Officer of Sunshine Heart, Inc. (NASDAQ: CHFS), a publicly-held early-stage medical device company, from 2011 to 2015. Mr. Mathiesen received a B.S. in Accounting from the University of South Dakota and is a Certified Public Accountant. Our Board believes that Mr. Mathiesen is qualified to serve as director based on his background in a broad range of responsibilities in financial and operational roles, including manufacturing, quality and procurement, in addition to traditional CFO roles in organizations with operations in North America, Europe, Southeast Asia and Australia.</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Board reviews its composition annually, including the determination of the independence of our directors. Our Board consults with the Company’s counsel to ensure that the Board’s determinations are consistent with relevant securities and other laws and regulations regarding the definition of “independent,” including those set forth in pertinent listing standards of the TSX and Nasdaq, as in effect from time to time.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all of the Company’s directors, other than Messrs. Andreeff and Tyler, are independent under the standards set forth in applicable TSX and Nasdaq listing standards. In making those independence determinations, the Board took into account certain relationships and transactions that occurred in the ordinary course of business between the Company and entities with which some of its directors are or have been affiliated. The Board considered all relationships and transactions that occurred during any 12-month period within the last three fiscal years. The Board determined that the relationships would not interfere with their exercise of independent judgment in carrying out their responsibilities as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Board of Directors is currently chaired by Blane Walter, an independent member of the Board.</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Board does not have a formal policy with respect to the separation of the offices of Chief Executive Officer and chairman of the Board. It is the Board’s view that rather than having a formal policy, the Board, upon consideration of all relevant factors and circumstances, will determine, as and when appropriate, whether it is in the best interests of the Company and its stockholders for such offices to be separate or combined.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Board currently believes that, by separating the positions of Chair of the Board and Chief Executive Officer, the Board can provide significant leadership to management and strong oversight of key opportunities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and risks impacting the Company. The Board may reconsider its leadership structure in connection with the appointment of a successor Chief Executive Officer to replace Mr. Andreeff, who is currently acting as Interim President and Chief Executive Officer.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plays an active role in overseeing management of our risks. The Board regularly reviews information regarding our credit, liquidity and operations, as well as the risks associated with each. The Audit Committee of the Board is responsible for overseeing the management of financial risks. The Compensation Committee also is responsible for overseeing the management of risks relating to our executive compensation policies and arrangements, and for managing risks relating to our director compensation policies and arrangements and reviewing the independence of the Board and other corporate governance matters.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met 11 times during 2020. Each current Board member who served as a director in 2020 attended 75% or more of the aggregate number of meetings of the Board and of the committees on which he served, held during the portion of the last fiscal year for which he was a director or committee member.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current committee membership:</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vMerge w:val="restart"/>
          </w:tcPr>
          <w:p>
            <w:pPr>
              <w:spacing w:after="0"/>
              <w:rPr>
                <w:sz w:val="12"/>
                <w:szCs w:val="12"/>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40" w:type="dxa"/>
            <w:vAlign w:val="bottom"/>
            <w:vMerge w:val="restart"/>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tcBorders>
              <w:bottom w:val="single" w:sz="8" w:color="auto"/>
            </w:tcBorders>
            <w:gridSpan w:val="2"/>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2780" w:type="dxa"/>
            <w:vAlign w:val="bottom"/>
            <w:gridSpan w:val="3"/>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440" w:type="dxa"/>
            <w:vAlign w:val="bottom"/>
          </w:tcPr>
          <w:p>
            <w:pPr>
              <w:spacing w:after="0"/>
              <w:rPr>
                <w:sz w:val="13"/>
                <w:szCs w:val="13"/>
                <w:color w:val="auto"/>
              </w:rPr>
            </w:pPr>
          </w:p>
        </w:tc>
        <w:tc>
          <w:tcPr>
            <w:tcW w:w="14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460" w:type="dxa"/>
            <w:vAlign w:val="bottom"/>
          </w:tcPr>
          <w:p>
            <w:pPr>
              <w:spacing w:after="0"/>
              <w:rPr>
                <w:sz w:val="13"/>
                <w:szCs w:val="13"/>
                <w:color w:val="auto"/>
              </w:rPr>
            </w:pPr>
          </w:p>
        </w:tc>
        <w:tc>
          <w:tcPr>
            <w:tcW w:w="11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 Mathiesen</w:t>
            </w:r>
          </w:p>
        </w:tc>
        <w:tc>
          <w:tcPr>
            <w:tcW w:w="15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X*</w:t>
            </w:r>
          </w:p>
        </w:tc>
        <w:tc>
          <w:tcPr>
            <w:tcW w:w="4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52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M. Straw</w:t>
            </w:r>
          </w:p>
        </w:tc>
        <w:tc>
          <w:tcPr>
            <w:tcW w:w="1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40" w:type="dxa"/>
            <w:vAlign w:val="bottom"/>
          </w:tcPr>
          <w:p>
            <w:pPr>
              <w:spacing w:after="0"/>
              <w:rPr>
                <w:sz w:val="18"/>
                <w:szCs w:val="18"/>
                <w:color w:val="auto"/>
              </w:rPr>
            </w:pPr>
          </w:p>
        </w:tc>
        <w:tc>
          <w:tcPr>
            <w:tcW w:w="14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X*</w:t>
            </w:r>
          </w:p>
        </w:tc>
        <w:tc>
          <w:tcPr>
            <w:tcW w:w="460" w:type="dxa"/>
            <w:vAlign w:val="bottom"/>
          </w:tcPr>
          <w:p>
            <w:pPr>
              <w:spacing w:after="0"/>
              <w:rPr>
                <w:sz w:val="18"/>
                <w:szCs w:val="18"/>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Blane Walter</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X</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35"/>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268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3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Committee Chairperson</w:t>
            </w:r>
          </w:p>
        </w:tc>
        <w:tc>
          <w:tcPr>
            <w:tcW w:w="1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Each of the committees has authority to engage legal counsel or other experts or consultants, as it deems appropriate to carry out its responsibilities.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Audit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scope, adequacy and effectiveness of internal control over financial reporting; establishes procedures, as required under applicable law, for the receipt, retention and treatment of complaints received by the Company regarding accounting, internal controls or auditing matters and the confidential and anonymous submission by employees of concerns regarding questionable accounting or auditing matters; and meets to review the Company’s annual audited financial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statements and quarterly financial statements with management and the independent auditor, including a review of the Company’s disclosures under “Management’s Discussion and Analysis of Financial Condition and Results of Operations.”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met four times during 2020. The Board has adopted a written Audit Committee charter that is available to stockholders on the Company’s website at www.heliusmedical.com.</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reviews the Nasdaq and TSX listing standards definition of independence for Audit Committee members on an annual basis and has determined that all members of the Company’s Audit Committee are independent.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has also determined that Mr. Mathiesen qualifies as an “audit committee financial expert,” as defined in applicable SEC rules. The Board made a qualitative assessment of Mr. Mathiesen’s level of knowledge and experience based on a number of factors, including his formal education and experience as a chief financial officer for public reporting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was established in March 2018. All members of the Company’s Compensation Committee are independent (as independence is currently defined in Rule 5605(d)(2) of Nasdaq listing standards and TSX independence rules). The Compensation Committee met three times during 2020. The Board has adopted a written Compensation Committee charter that is available to stockholders on the Company’s website at www.heliusmedical.com.</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review, recommend for adoption and oversee the Company’s compensation strategy, policies, plans and programs, including establishing corporate and individual performance objectives relevant to the compensation of the Company’s executive officers and other senior management and evaluation of performance in light of these stated objectives; reviewing and recommending to the Board for approval the compensation and other terms of employment or service, including severance and change-in-control arrangements, of the Company’s Chief Executive Officer, the other executive officers and the directors; and administering the Company’s equity compensation plans, pension and profit-sharing plans, deferred compensation plans and other similar plans and programs.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Determination: Processes and Procedures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Compensation Committee will meet at least annually and with greater frequency if necessary and appropriate. The agenda for each meeting will be developed by the Chair of the Compensation Committee, in consultation with legal counsel or other advisers or consultants it deems necessary and appropriate. The Compensation Committee will meet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Prior to the establishment of a formal compensation committee in March 2018, the non-employee directors of the Board performed the duties of a compensation committee and met at least four times per year, regularly in executive session, to discuss compensation. The non-employee directors invited management and other employees, outside advisors and/or consultants to join its meetings as appropriate to provide advice and background information. The Chief Executive Officer did not participate in, and was not present during, any deliberations or determinations of the non-employee directors regarding his compensation or individual performance objectives.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fiscal 2020, the Board delegated authority to the Chief Executive Officer to grant, without any further action required by the Compensation Committee, equity awards to employees and consultants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Board. Typically, as part of its oversight function, the Compensation Committee will review on a quarterly basis the list of grants made the Chief Executive Officer.</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Historically, the non-employee directors and, since its establishment in 2018, the Compensation Committee, have made most of the significant adjustments to annual compensation, determined bonus and equity awards and established new performance objectives at one or more meetings held during the first quarter of the year. Generally, the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The Chief Executive Officer may not be present during these discussions.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Company’s compensation consultant, including analyses of executive and director compensation paid at other companies identified by the consultant.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was established in March 2018. All members of the Nominating and Corporate Governance Committee are independent (as independence is currently defined in Rule 5605(a)(2) of the Nasdaq listing standards and in the TSX Company Manual). The Nominating and Corporate Governance Committee met two times during 2020. The Board has adopted a written Nominating and Corporate Governance Committee charter that is available to stockholders on the Company’s website at www.heliusmedical.com.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selecting or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 Prior to the establishment of a formal nominating and governance committee in March 2018, the Board performed such duties as it did not believe a formal committee was necessary or cost efficient for a company of our size.</w:t>
      </w:r>
    </w:p>
    <w:p>
      <w:pPr>
        <w:spacing w:after="0" w:line="187"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Generally, director nominees are identified and suggested by our directors or management using their business networks. The Nominating and Corporate Governance Committee also intends to consider director nominees put forward by stockholders. Our Amended and Restated Bylaws contain provisions that address the process by which a stockholder may nominate an individual to stand for election to the Board at the annual meeting. Stockholders may recommend individuals to our Board for consideration as potential director candidates by submitting the names of the recommended individuals, together with appropriate biographical information and background materials, to the Board at Helius Medical Technologies, Inc., 642 Newtown Yardley Road, Suite 100, Newtown, Pennsylvania 18940, Attention: Chairman of the Board. Such nomination must satisfy the notice, information and consent requirements set forth in our Amended and Restated Bylaws. The Board does not intend to alter the manner in which it evaluates candidates, including the minimum criteria set forth above, based on whether or not the candidate was recommended by a stockholder.</w:t>
      </w:r>
    </w:p>
    <w:p>
      <w:pPr>
        <w:spacing w:after="0" w:line="17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Nominating and Corporate Governance Committee does not have any specific minimum qualifications that director nominees must have in order to be considered to serve on the Board. However, the Nominating and Corporate Governance Committee does take into consideration areas of expertise that director nominees may be able to offer, including professional experience, knowledge, abilities and industry knowledge or expertise. The Nominating and Corporate Governance Committee also considers their potential contribution to the overall composition and diversity of the Board.</w:t>
      </w:r>
    </w:p>
    <w:p>
      <w:pPr>
        <w:spacing w:after="0" w:line="16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conduct the appropriate and necessary inquiries (as determined by the Committee) with respect to the backgrounds and qualifications of any potential nominees, without regard to whether a potential nominee has been recommended by our stockholders, and, upon consideration of all relevant factors and circumstances, approves the slate of director nominees to be nominated for election at our annual meeting of stockholders.</w:t>
      </w:r>
    </w:p>
    <w:p>
      <w:pPr>
        <w:spacing w:after="0" w:line="180" w:lineRule="exact"/>
        <w:rPr>
          <w:sz w:val="20"/>
          <w:szCs w:val="20"/>
          <w:color w:val="auto"/>
        </w:rPr>
      </w:pPr>
    </w:p>
    <w:p>
      <w:pPr>
        <w:ind w:left="120" w:right="56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potential nominees without regard to gender, race, color, creed, religion, national origin, age, sexual orientation or disability. In general, the Company seeks a Board that includes a diversity of perspectives and includes individuals that possess backgrounds, skills, expertise and attributes that allow them to function collaboratively and effectively together in their oversight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adopted a non-employee director compensation policy, effective as of June 10, 2020, pursuant to which the Chairs of the Audit Committee, Compensation Committee and Nominating and Corporate Governance Committee will receive an annual retainer of $10,000, $5,000 and $2,500, respectively, and our non-employee directors will receive board compensation in the form of an annual retainer equal to $20,000 delivered in options to purchase shares of our common stock, which vest in 12 equal monthly amounts. We also reimburse non-employee directors for reasonable expenses incurred in connection with attending Board and committee meetings.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for the fiscal year ended December 31, 2020. As named executive officers of the Company for 2020, compensation paid to Mr. Andreeff, our Interim President and Chief Executive Officer, and Mr. Deschamps, our former President and Chief Executive Officer, for the 2019 and 2020 fiscal years is fully reflected under“— Summary Compensation Table for 2020” below.</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9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00" w:type="dxa"/>
            <w:vAlign w:val="bottom"/>
            <w:gridSpan w:val="2"/>
            <w:vMerge w:val="continue"/>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Pr>
          <w:p>
            <w:pPr>
              <w:spacing w:after="0"/>
              <w:rPr>
                <w:sz w:val="13"/>
                <w:szCs w:val="13"/>
                <w:color w:val="auto"/>
              </w:rPr>
            </w:pPr>
          </w:p>
        </w:tc>
        <w:tc>
          <w:tcPr>
            <w:tcW w:w="56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(5)</w:t>
            </w:r>
          </w:p>
        </w:tc>
        <w:tc>
          <w:tcPr>
            <w:tcW w:w="580" w:type="dxa"/>
            <w:vAlign w:val="bottom"/>
          </w:tcPr>
          <w:p>
            <w:pPr>
              <w:spacing w:after="0"/>
              <w:rPr>
                <w:sz w:val="13"/>
                <w:szCs w:val="13"/>
                <w:color w:val="auto"/>
              </w:rPr>
            </w:pPr>
          </w:p>
        </w:tc>
        <w:tc>
          <w:tcPr>
            <w:tcW w:w="1160" w:type="dxa"/>
            <w:vAlign w:val="bottom"/>
          </w:tcPr>
          <w:p>
            <w:pPr>
              <w:jc w:val="right"/>
              <w:ind w:right="41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Jeffrey Mathiesen (1)</w:t>
            </w:r>
          </w:p>
        </w:tc>
        <w:tc>
          <w:tcPr>
            <w:tcW w:w="1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20,000</w:t>
            </w: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16"/>
              <w:spacing w:after="0" w:line="203" w:lineRule="exact"/>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Mitchell E. Tyler (2)</w:t>
            </w:r>
          </w:p>
        </w:tc>
        <w:tc>
          <w:tcPr>
            <w:tcW w:w="1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M. Straw (3)</w:t>
            </w:r>
          </w:p>
        </w:tc>
        <w:tc>
          <w:tcPr>
            <w:tcW w:w="1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1,250</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21,250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Blane Walter (4)</w:t>
            </w:r>
          </w:p>
        </w:tc>
        <w:tc>
          <w:tcPr>
            <w:tcW w:w="1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1,250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21,250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Mathiesen held 1,749 shares of common stock underlying option grants at December 31, 2020.</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Tyler held 3,011 shares of common stock underlying option grants at December 31,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Admiral (Retired) Straw held 3,825 shares of common stock underlying option grants at December 31,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Walter held 3,004 shares of common stock underlying option grants at December 31, 2020.</w:t>
      </w:r>
    </w:p>
    <w:p>
      <w:pPr>
        <w:spacing w:after="0" w:line="9"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full grant date fair value for awards granted during the fiscal year ended December 31, 2020. The grant date fair value was computed in accordance with ASC Topic 718, Compensation—Stock Compensation.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options are described in Note 4 to our audited financial statements included herein.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and accompanying narrative disclosure discuss the compensation awarded to, earned by, or paid to:</w:t>
      </w:r>
    </w:p>
    <w:p>
      <w:pPr>
        <w:spacing w:after="0" w:line="131" w:lineRule="exact"/>
        <w:rPr>
          <w:sz w:val="20"/>
          <w:szCs w:val="20"/>
          <w:color w:val="auto"/>
        </w:rPr>
      </w:pPr>
    </w:p>
    <w:p>
      <w:pPr>
        <w:ind w:left="1540" w:hanging="331"/>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Dane C. Andreeff, our Interim President and Chief Executive Officer;</w:t>
      </w:r>
    </w:p>
    <w:p>
      <w:pPr>
        <w:spacing w:after="0" w:line="2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Phillippe Deschamps, our former Chief Executive Officer;</w:t>
      </w:r>
    </w:p>
    <w:p>
      <w:pPr>
        <w:spacing w:after="0" w:line="9"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Joyce LaViscount, our Chief Financial Officer and Chief Operating Officer; and</w:t>
      </w:r>
    </w:p>
    <w:p>
      <w:pPr>
        <w:spacing w:after="0" w:line="9"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Sackier, our Chief Medical Officer.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these four current or former executive officers as the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 for 2020</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earned by our named executive officers during the fiscal years ended December 31, 2020 and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20" w:type="dxa"/>
            <w:vAlign w:val="bottom"/>
            <w:gridSpan w:val="2"/>
            <w:vMerge w:val="continue"/>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Pr>
          <w:p>
            <w:pPr>
              <w:spacing w:after="0"/>
              <w:rPr>
                <w:sz w:val="15"/>
                <w:szCs w:val="15"/>
                <w:color w:val="auto"/>
              </w:rPr>
            </w:pPr>
          </w:p>
        </w:tc>
        <w:tc>
          <w:tcPr>
            <w:tcW w:w="11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(2)</w:t>
            </w:r>
          </w:p>
        </w:tc>
        <w:tc>
          <w:tcPr>
            <w:tcW w:w="16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Compensation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Dane C. Andreeff</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2020</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3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Interim President and Chief Executive Officer(3)</w:t>
            </w:r>
          </w:p>
        </w:tc>
        <w:tc>
          <w:tcPr>
            <w:tcW w:w="9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79,144</w:t>
            </w:r>
          </w:p>
        </w:tc>
        <w:tc>
          <w:tcPr>
            <w:tcW w:w="16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79,144</w:t>
            </w:r>
          </w:p>
        </w:tc>
        <w:tc>
          <w:tcPr>
            <w:tcW w:w="0" w:type="dxa"/>
            <w:vAlign w:val="bottom"/>
          </w:tcPr>
          <w:p>
            <w:pPr>
              <w:spacing w:after="0"/>
              <w:rPr>
                <w:sz w:val="1"/>
                <w:szCs w:val="1"/>
                <w:color w:val="auto"/>
              </w:rPr>
            </w:pPr>
          </w:p>
        </w:tc>
      </w:tr>
      <w:tr>
        <w:trPr>
          <w:trHeight w:val="31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Philippe Deschamps</w:t>
            </w: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285,339</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501,588 (5)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786,927</w:t>
            </w:r>
          </w:p>
        </w:tc>
        <w:tc>
          <w:tcPr>
            <w:tcW w:w="0" w:type="dxa"/>
            <w:vAlign w:val="bottom"/>
          </w:tcPr>
          <w:p>
            <w:pPr>
              <w:spacing w:after="0"/>
              <w:rPr>
                <w:sz w:val="1"/>
                <w:szCs w:val="1"/>
                <w:color w:val="auto"/>
              </w:rPr>
            </w:pPr>
          </w:p>
        </w:tc>
      </w:tr>
      <w:tr>
        <w:trPr>
          <w:trHeight w:val="23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Executive Officer(4)</w:t>
            </w: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492,353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739,776</w:t>
            </w: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12,373(6)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1,244,502</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Joyce LaViscount</w:t>
            </w:r>
          </w:p>
        </w:tc>
        <w:tc>
          <w:tcPr>
            <w:tcW w:w="9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387,080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24,340</w:t>
            </w:r>
          </w:p>
        </w:tc>
        <w:tc>
          <w:tcPr>
            <w:tcW w:w="16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1,220 (8)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412,640</w:t>
            </w:r>
          </w:p>
        </w:tc>
        <w:tc>
          <w:tcPr>
            <w:tcW w:w="0" w:type="dxa"/>
            <w:vAlign w:val="bottom"/>
          </w:tcPr>
          <w:p>
            <w:pPr>
              <w:spacing w:after="0"/>
              <w:rPr>
                <w:sz w:val="1"/>
                <w:szCs w:val="1"/>
                <w:color w:val="auto"/>
              </w:rPr>
            </w:pPr>
          </w:p>
        </w:tc>
      </w:tr>
      <w:tr>
        <w:trPr>
          <w:trHeight w:val="196"/>
        </w:trPr>
        <w:tc>
          <w:tcPr>
            <w:tcW w:w="382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 Officer and Chief Operating</w:t>
            </w:r>
          </w:p>
        </w:tc>
        <w:tc>
          <w:tcPr>
            <w:tcW w:w="980" w:type="dxa"/>
            <w:vAlign w:val="bottom"/>
            <w:gridSpan w:val="3"/>
          </w:tcPr>
          <w:p>
            <w:pPr>
              <w:ind w:left="320"/>
              <w:spacing w:after="0" w:line="195" w:lineRule="exact"/>
              <w:rPr>
                <w:sz w:val="20"/>
                <w:szCs w:val="20"/>
                <w:color w:val="auto"/>
              </w:rPr>
            </w:pPr>
            <w:r>
              <w:rPr>
                <w:rFonts w:ascii="Times New Roman" w:cs="Times New Roman" w:eastAsia="Times New Roman" w:hAnsi="Times New Roman"/>
                <w:sz w:val="18"/>
                <w:szCs w:val="18"/>
                <w:color w:val="auto"/>
              </w:rPr>
              <w:t>2019</w:t>
            </w:r>
          </w:p>
        </w:tc>
        <w:tc>
          <w:tcPr>
            <w:tcW w:w="96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381,955</w:t>
            </w:r>
          </w:p>
        </w:tc>
        <w:tc>
          <w:tcPr>
            <w:tcW w:w="1180" w:type="dxa"/>
            <w:vAlign w:val="bottom"/>
            <w:gridSpan w:val="2"/>
          </w:tcPr>
          <w:p>
            <w:pPr>
              <w:jc w:val="right"/>
              <w:ind w:right="300"/>
              <w:spacing w:after="0" w:line="195" w:lineRule="exact"/>
              <w:rPr>
                <w:sz w:val="20"/>
                <w:szCs w:val="20"/>
                <w:color w:val="auto"/>
              </w:rPr>
            </w:pPr>
            <w:r>
              <w:rPr>
                <w:rFonts w:ascii="Times New Roman" w:cs="Times New Roman" w:eastAsia="Times New Roman" w:hAnsi="Times New Roman"/>
                <w:sz w:val="18"/>
                <w:szCs w:val="18"/>
                <w:color w:val="auto"/>
              </w:rPr>
              <w:t>642,705</w:t>
            </w:r>
          </w:p>
        </w:tc>
        <w:tc>
          <w:tcPr>
            <w:tcW w:w="1620" w:type="dxa"/>
            <w:vAlign w:val="bottom"/>
            <w:gridSpan w:val="2"/>
          </w:tcPr>
          <w:p>
            <w:pPr>
              <w:ind w:left="8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8,371(6)</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1,033,031</w:t>
            </w:r>
          </w:p>
        </w:tc>
        <w:tc>
          <w:tcPr>
            <w:tcW w:w="0" w:type="dxa"/>
            <w:vAlign w:val="bottom"/>
          </w:tcPr>
          <w:p>
            <w:pPr>
              <w:spacing w:after="0"/>
              <w:rPr>
                <w:sz w:val="1"/>
                <w:szCs w:val="1"/>
                <w:color w:val="auto"/>
              </w:rPr>
            </w:pPr>
          </w:p>
        </w:tc>
      </w:tr>
      <w:tr>
        <w:trPr>
          <w:trHeight w:val="23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Jonathan Sackier</w:t>
            </w:r>
          </w:p>
        </w:tc>
        <w:tc>
          <w:tcPr>
            <w:tcW w:w="9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25,739</w:t>
            </w:r>
          </w:p>
        </w:tc>
        <w:tc>
          <w:tcPr>
            <w:tcW w:w="16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1,650(8)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227,389</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9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336,553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462,360</w:t>
            </w:r>
          </w:p>
        </w:tc>
        <w:tc>
          <w:tcPr>
            <w:tcW w:w="16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798,913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2020 and 2019 include the value of stock awards granted in 2020 to Mr. Deschamps 1,759 shares with a value of $31,915), and to Ms. LaViscount (2,155 shares with a value of $38,292), and in 2019 to Mr. Deschamps (376 shares with a value of $7,961) and Ms. LaViscount (258 shares with a value of $5,457), in each case, in lieu of base salary forgone at the election of such named executive officers commencing with the pay period ending December 13, 2019 as described in the last paragraph under “Narrative Disclosure to Summary Compensation Table—Equity-Based Awards”. Mr. Deschamps’ and Ms. LaViscount’s elections to receive restricted stock awards in lieu of cash salary compensation were effective beginning with the December 13, 2019 payroll date and remained in place until May 11, 2020 for Mr. Deschamps and August 11, 2020 for Ms. LaViscount.</w:t>
      </w:r>
    </w:p>
    <w:p>
      <w:pPr>
        <w:spacing w:after="0" w:line="2"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full grant date fair value for awards granted during the indicated year. The grant date fair value was computed in accordance with ASC Topic 718, Compensation—Stock Compensation. Unlike the calculations contained in our financial statements, this calculation does not give effect to any estimate of forfeitures related to service-based vesting, but assumes that the executive will perform the requisite service for the award to vest in full. The assumptions we used in valuing options are described in Note 4 to our audited financial statements included herein.</w:t>
      </w:r>
    </w:p>
    <w:p>
      <w:pPr>
        <w:spacing w:after="0" w:line="1"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Andreeff has been employed as Interim President and Chief Executive Officer of the Company since August 23, 2020. Prior to his appointment as Interim President and Chief Executive Officer, Mr. Andreeff was a non-employee director. Mr. Andreeff has elected to take no additional compensation in return for his service as Interim President and Chief Executive Officer. The amounts in the “Option Awards” and “All Other Compensation” columns for 2020 include an equity grant and cash compensation, respectively, that Mr. Andreeff received while serving as a non-employee director.</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520" w:hanging="424"/>
        <w:spacing w:after="0" w:line="26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Deschamps stepped down from his roles as President and Chief Executive Officer and director effective August 23, 2020 upon mutual agreement with the Board.</w:t>
      </w:r>
    </w:p>
    <w:p>
      <w:pPr>
        <w:ind w:left="540" w:right="1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for 2020 reflect that Mr. Deschamps’ employment with the Company ended as of August 23, 2020. In addition to group life insurance premiums, “All Other Compensation” for 2020 includes a $501,000 severance payment to Mr. Deschamps, payable in equal monthly installments during the twelve-month period following August 23, 2020.</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matching contributions to the Company’s 401(k) savings plan.</w:t>
      </w:r>
    </w:p>
    <w:p>
      <w:pPr>
        <w:spacing w:after="0" w:line="9"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amounts under the annual incentive plan for the fiscal period ending December 31, 2020 have not been determined as at the date of this filing and are thus not calculable.</w:t>
      </w: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life insurance premiums.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program for the Company’s named executive officers for 2020 had three components: base salary, annual cash bonus and equity grants.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than Mr. Andreeff, we have entered into employment agreements with each of our named executive officers that establish annual base salaries, which are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 There were no adjustments made to the base salaries for the Company’s named executive officers for the fiscal year 2020, as compared to fiscal year 2019.</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Pursuant to the Interim President and CEO Employment Letter Agreement entered into with Mr. Andreeff on August 23, 2020, Mr. Andreeff has elected to take no additional compensation in return for his service as Interim President and Chief Executive Officer. Additionally, since he is not a member of any Board committees, Mr. Andreeff is not currently eligible for any cash retainer, which the Company only pays to the Chairs of the Audit Committee, Compensation Committee and Nominating and Corporate Governance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2020, each of the Company’s named executive officers (other than Mr. Andreeff) had a target bonus, set forth as a percentage of annual base salary. The Board did not make any changes to the target bonuses of the named executive officers, as a percentage of base salary, for 2020. In 2020, target bonuses for Ms. LaViscount and Mr. Sackier were 40% of base salary. Mr. Deschamps’ target bonus was set at 55% of base salary.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March 2020, the Compensation Committee recommended, and the Board approved, performance targets for fiscal 2020 that it would consider in approving bonus payments for 2020. These targets included various corporate objectives related to company revenue goals, financing goals, regulatory submissions, and compliance goals.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equity-based incentive awards which are mainly comprised of stock options are designed to align our interests with those of our employees and consultants, including our named executive officers. Our Compensation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320" w:top="455" w:right="5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Committee has responsibility for granting equity-based incentive awards to our named executive officers. Vesting of equity awards is generally tied to continuous service with us and serves as an additional retention measure. Our executives generally are awarded an initial new hire grant upon commencement of employment. Additional grants may occur periodically in order to specifically incentivize executives with respect to achieving certain corporate goals or to reward executives for exceptional performance.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2019, our Compensation Committee recommended, and our Board approved, the grant of an option to purchase 4,571 shares of common stock to Mr. Deschamps, an option to purchase 2,857 shares of common stock to Ms. LaViscount and an option to purchase 2,857 shares of common stock to Dr. Sackier pursuant to the 2018 Plan. Each of these stock options has an exercise price equal to the fair market value of a share of common stock as of the grant date, as determined in accordance with our 2018 Plan, and vests in equal monthly installments over the 48-month period following the grant date.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September 2019, our Compensation Committee recommended, and our Board approved, the grant of an option to purchase 4,285 shares of common stock to Ms. LaViscount pursuant to the 2018 Plan. The stock option has an exercise price equal to the fair market value of a share of common stock as of the grant date, as determined in accordance with our 2018 Omnibus Incentive Plan (as amended, the “2018 Plan”). 25% of the shares subject to the grant vest on September 23, 2020, and the remaining shares vest in equal monthly installments over the remaining 36 months.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April 2020, our Compensation Committee approved, the grant of an option to purchase 1,428 shares of common stock to Mr. Sackier. The stock option has an exercise price equal to the fair market value of a share of common stock as of the grant date, as determined in accordance with our 2018 Plan, and vests in annual installments on each of the first four anniversaries of the date of grant subject to the holder’s continuous service with the Company.</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2020, our Compensation Committee approved, the grant of an option to purchase 1,714 shares of common stock to Mr. Sackier, and an option to purchase 2,857 shares of common stock to Ms. LaViscount pursuant to the 2018 Plan. Each of these stock options has an exercise price equal to the fair market value of a share of common stock as of the grant date, as determined in accordance with our 2018 Plan, and vests in annual installments on each of the first two anniversaries of the date of grant subject to the holder’s continuous service with the Company or earlier upon a Termination of Employment without Cause (as such terms are defined in the 2018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Salary-for-Stock Program</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2019, we entered into an arrangement, as approved by our Board, with each of Mr. Deschamps and Ms. LaViscount whereby</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Deschamps and Ms. LaViscount elected to receive shares of common stock in lieu of a portion of each of their respective cash salary compensation. Mr. Deschamps and Ms. LaViscount elected to reduce their base cash salaries by approximately 19% and 17%, respectively, in exchange for fully vested shares of restricted stock granted pursuant to the 2018 Plan. The value of the shares is equal in value to the amount of cash salary forgone, with the actual number of shares issuable on each payroll date calculated based on the closing trading price of our common stock on the Nasdaq Capital Market as of such payroll date. Mr. Deschamps’ and Ms. LaViscount’s elections to receive restricted stock awards in lieu of cash salary compensation were effective beginning with the December 13, 2019 payroll date and remained in place until May 11, 2020 for Mr. Deschamps and August 11, 2020 for Ms. LaViscount. As of December 31, 2020, Mr. Deschamps had received 2,135 shares and Ms. LaViscount had received 2,413 shares pursuant to these elections.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named executive officers do not participate in, or otherwise receive any benefits under, any pension or deferred compensation plan sponsored by us. During 2019, we matched contributions made by our employees, including our named executive officers, to the Company’s 401(k) savings plan. In 2020, we suspended the safe harbor match and moved to a discretionary, profit-sharing match and began providing life insurance benefits to our named executive officers. Our named executive officers were eligible to participate in our employee benefits, including health insurance benefits, on the same basis as our other employees. We generally do not provide perquisites or personal benefits except in limited circumstances.</w:t>
      </w:r>
    </w:p>
    <w:p>
      <w:pPr>
        <w:spacing w:after="0" w:line="287" w:lineRule="exact"/>
        <w:rPr>
          <w:sz w:val="20"/>
          <w:szCs w:val="20"/>
          <w:color w:val="auto"/>
        </w:rPr>
      </w:pPr>
    </w:p>
    <w:p>
      <w:pPr>
        <w:ind w:left="120" w:right="48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and Payments upon Termination or Change in Control </w:t>
      </w:r>
      <w:r>
        <w:rPr>
          <w:rFonts w:ascii="Times New Roman" w:cs="Times New Roman" w:eastAsia="Times New Roman" w:hAnsi="Times New Roman"/>
          <w:sz w:val="18"/>
          <w:szCs w:val="18"/>
          <w:b w:val="1"/>
          <w:bCs w:val="1"/>
          <w:i w:val="1"/>
          <w:iCs w:val="1"/>
          <w:color w:val="auto"/>
        </w:rPr>
        <w:t>Philippe Deschamps</w:t>
      </w: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13, 2014, we entered into an employment agreement with Philippe Deschamps to serve as our President and Chief Executive Officer. We amended the employment agreement on September 1, 2014. Pursuant to the employment agreement, Mr. Deschamps initially received a base salary at an annualized rate of $250,000, which was subsequently increased to $400,000 following the Company’s achievement of certain financing thresholds. On April 17, 2017, the Board approved an increase of his base salary to $416,000. In addition to Mr. Deschamps’ base salary, he had the opportunity to receive a target annual bonus of 30% of the base salary, conditional upon, and subject to upward or downward adjustment based upon, achievements and individual goals to be established in good faith by the Board of Directors and Mr. Deschamps. On April 26, 2018, the Compensation Committee recommended to the Board, and the Board approved a 3% increase to Mr. Deschamps’ base salary to $428,480. On March 5, 2019, the Compensation Committee recommended to the Board and the Board approved, a 17% increase to Mr. Deschamps’ base salary to $501,000 effective March 31, 2019 and a target annual bonus of 55% of such salary.</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employment agreement provided that if Mr. Deschamps was terminated without cause or if Mr. Deschamps resigned for good reason (each as defined in Mr. Deschamps’ employment agreement), Mr. Deschamps would be entitled to an aggregate amount equal to the sum of his base salary and the earned portion of his annual bonus paid for the year preceding the year of his termination of which such amount is to be paid in equal monthly installments during the twelve month period following such termination of employment.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23, 2020, the Company entered into a separation agreement with Philippe Deschamps. Pursuant to the separation agreement, Mr. Deschamps resigned from all positions as an officer or employee of the Company and all of the Company’s subsidiaries and as a member of the Board effective as of such date. The separation agreement provided that Mr. Deschamps would receive certain benefits that he was entitled to receive under his employment agreement, as amended, in connection with a termination for good reason. Accordingly, under the separation agreement, subject to non-revocation of a general release and waiver of claims in favor of the Company, the Company agreed to pay Mr. Deschamps a total of $501,000 less required deductions and withholdings, in equal monthly installments during the twelve-month period following the date of the separation agreement. Mr. Deschamps remains subject to the non-compete and non-solicitation provisions in his employment agreement during the twelve-month period following the Mr. Deschamps’ date of termination, and pursuant to the separation agreement, has agreed to certain customary standstill restrictions through the end of the period that is two years from the separation date.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Joyce LaViscount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October 19, 2015, we entered into an employment agreement with Joyce LaViscount to serve as our Chief Financial Officer and Chief Operating Officer. Pursuant to the employment agreement, Ms. LaViscount received a base salary at an annualized rate of $300,000 for her employment term, which is at-will. On April 17, 2017, the Board approved an increase of her base salary to $336,000. In addition to Ms. LaViscount’s base salary, she had the opportunity to receive a target annual bonus of 25% of the base salary, conditional upon, and subject to upward or downward adjustment based upon achievements and individual goals to be established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good faith by our Chief Executive Officer and Ms. LaViscount. On April 26, 2018, the Compensation Committee recommended to the Board, and the Board approved, a 3% increase to Ms. LaViscount’s base salary to $346,080. On March 5, 2019, the Compensation Committee recommended to the Board, and the Board approved, a 12% increase to Ms. LaViscount’s base salary to $387,080, effective March 31, 2019, and a target annual bonus of 40% of such salary.</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Ms. LaViscount is terminated without cause or if she resigns for good reason (each as defined in Ms. LaViscount’s employment agreement), Ms. LaViscount is entitled to an aggregate amount equal to the sum of her base salary and the earned portion of her annual bonus paid for the year preceding the year of her termination, of which such amount is to be paid in equal monthly installments during the twelve month period following such termination of employment.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Jonathan Sackier</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On December 1, 2014, we entered into an employment agreement with Jonathan Sackier to serve as our Chief Medical Officer. Pursuant to the employment agreement, Dr. Sackier received a base salary at an annualized rate of $300,000 for his employment terms, which is at-will. In addition to Dr. Sackier’s base salary, he shall have the opportunity to receive a target annual bonus of 25% of the base salary, conditional upon, and subject to upward or downward adjustment based upon, achievements and individual goals to be established in good faith by our Chief Executive Officer and Dr. Sackier. On April 17, 2017, our Board of Directors approved a 4% increase in Dr. Sackier’s base salary to $312,000. On April 26, 2018, the Compensation Committee recommended to the Board, and the Board approved a 3% increase to Dr. Sackier’s base salary to $324,480. On March 5, 2019, the Compensation Committee recommended to the Board and the Board approved, a 12% increase to Dr. Sackier’s base salary to $360,000 effective March 31, 2019 and a target annual bonus of 40% of such salary. On December 1, 2019, Dr. Sackier agreed to take a temporary salary reduction to $200,000. This salary reduction remained in place throughout fiscal year 2020.</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Dr. Sackier is terminated without cause or if he resigns for good reason (each as defined in Dr. Sackier’s employment agreement), Dr. Sackier is entitled to an aggregate amount equal to the sum of his base salary and the earned portion of his annual bonus paid for the year preceding the year of his termination, of which such amount is to be paid in equal monthly installments during the twelve month period following such termination of employment.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Dane C. Andreeff</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August 23, 2020, we entered into an Interim President and CEO Employment Letter Agreement with Mr. Andreeff. Mr. Andreeff has elected to take no additional compensation in return for his service as Interim President and Chief Executive Officer. However, Mr. Andreeff will continue to be eligible to receive the equity retainer granted annually to the Company’s non-employee directors. Currently, pursuant to the non-employee director compensation policy that the Company adopted effective as of the date of the 2020 annual meeting of stockholders, the Company’s non-employee directors receive an annual equity retainer equal to $20,000 delivered in the form of options to purchase shares of the Company’s Class A Common Stock. Since he will not be a member of any Board committees, Mr. Andreeff is not eligible for any cash retainer, which the Company only pays to the Chairs of the Audit Committee, Compensation Committee and Nominating and Corporate Governance Committee.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all have outstanding awards under (i) our 2014 Equity Incentive Plan (as amended, the “2014 Plan”), (ii) our 2016 Omnibus Incentive Plan (as amended, the “2016 Plan”), and (iii) the 2018 Plan.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Under the 2014 Plan, all awards vest immediately upon the Company’s public announcement of a change of control. Under the 2014 Plan, a change of control is generally (i) the direct or indirect acquisition by any person or related group of persons of beneficial ownership of securities possessing more than 50% of the total combined voting power of the Company’s outstanding securities pursuant to a tender or exchange offer made directly to the Company’s shareholders; (ii) a change in the composition of the Board over a period of 36 months or less such that a majority of the Board members ceases, by reason of one or more contested elections for Board membership, to be comprised of individuals who are continuing directors; (iii) the sale or exchange by the Company (in one or a series of transactions) of all or substantially all of its assets to any other person or entity; or (iv) approval by the shareholders of the Company of a plan to dissolve and liquidate the Company. However, all awards held by named executive officers under the 2014 Plan were fully vested as of December 31, 2020.</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2016 Plan and the 2018 Plan, the Compensation Committee may provide, in individual award agreements or in any other written agreement between a participant and us, that the stock award will be subject to additional acceleration of vesting and exercisability in the event of a termination of employment or change in control. Accordingly, in October 2020 when the compensation committee granted stock options to our named executive officers, the individual award agreements provided for accelerated vesting of such options upon termination of employment without “Cause” or for “Good Reason” (each as defined in the 2018 Plan) or upon a change in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2020</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equity awards granted to our named executive officers that remain outstanding as of December 31,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3"/>
                <w:szCs w:val="13"/>
                <w:color w:val="auto"/>
              </w:rPr>
            </w:pPr>
          </w:p>
        </w:tc>
        <w:tc>
          <w:tcPr>
            <w:tcW w:w="1620" w:type="dxa"/>
            <w:vAlign w:val="bottom"/>
            <w:gridSpan w:val="2"/>
          </w:tcPr>
          <w:p>
            <w:pPr>
              <w:jc w:val="center"/>
              <w:ind w:right="6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tcPr>
          <w:p>
            <w:pPr>
              <w:spacing w:after="0"/>
              <w:rPr>
                <w:sz w:val="12"/>
                <w:szCs w:val="12"/>
                <w:color w:val="auto"/>
              </w:rPr>
            </w:pPr>
          </w:p>
        </w:tc>
        <w:tc>
          <w:tcPr>
            <w:tcW w:w="1620" w:type="dxa"/>
            <w:vAlign w:val="bottom"/>
            <w:gridSpan w:val="2"/>
          </w:tcPr>
          <w:p>
            <w:pPr>
              <w:jc w:val="center"/>
              <w:ind w:right="664"/>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left="4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2"/>
                <w:szCs w:val="12"/>
                <w:color w:val="auto"/>
              </w:rPr>
            </w:pPr>
          </w:p>
        </w:tc>
        <w:tc>
          <w:tcPr>
            <w:tcW w:w="1420" w:type="dxa"/>
            <w:vAlign w:val="bottom"/>
            <w:gridSpan w:val="2"/>
          </w:tcPr>
          <w:p>
            <w:pPr>
              <w:jc w:val="center"/>
              <w:ind w:left="45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0"/>
        </w:trPr>
        <w:tc>
          <w:tcPr>
            <w:tcW w:w="45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540" w:type="dxa"/>
            <w:vAlign w:val="bottom"/>
          </w:tcPr>
          <w:p>
            <w:pPr>
              <w:spacing w:after="0"/>
              <w:rPr>
                <w:sz w:val="13"/>
                <w:szCs w:val="13"/>
                <w:color w:val="auto"/>
              </w:rPr>
            </w:pPr>
          </w:p>
        </w:tc>
        <w:tc>
          <w:tcPr>
            <w:tcW w:w="1620" w:type="dxa"/>
            <w:vAlign w:val="bottom"/>
            <w:gridSpan w:val="2"/>
          </w:tcPr>
          <w:p>
            <w:pPr>
              <w:jc w:val="center"/>
              <w:ind w:right="684"/>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Pr>
          <w:p>
            <w:pPr>
              <w:spacing w:after="0"/>
              <w:rPr>
                <w:sz w:val="13"/>
                <w:szCs w:val="13"/>
                <w:color w:val="auto"/>
              </w:rPr>
            </w:pPr>
          </w:p>
        </w:tc>
        <w:tc>
          <w:tcPr>
            <w:tcW w:w="9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5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Dane C. Andreeff</w:t>
            </w: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428</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143</w:t>
            </w:r>
          </w:p>
        </w:tc>
        <w:tc>
          <w:tcPr>
            <w:tcW w:w="74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color w:val="auto"/>
                <w:w w:val="79"/>
              </w:rPr>
              <w:t>(1)</w:t>
            </w:r>
          </w:p>
        </w:tc>
        <w:tc>
          <w:tcPr>
            <w:tcW w:w="5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363.30</w:t>
            </w: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8/8/2027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2160" w:type="dxa"/>
            <w:vAlign w:val="bottom"/>
            <w:gridSpan w:val="3"/>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(2)</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384.65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236.60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3/28/2029</w:t>
            </w: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shd w:val="clear" w:color="auto" w:fill="CCEEFF"/>
          </w:tcPr>
          <w:p>
            <w:pPr>
              <w:spacing w:after="0"/>
              <w:rPr>
                <w:sz w:val="20"/>
                <w:szCs w:val="20"/>
                <w:color w:val="auto"/>
              </w:rPr>
            </w:pPr>
          </w:p>
        </w:tc>
        <w:tc>
          <w:tcPr>
            <w:tcW w:w="2160" w:type="dxa"/>
            <w:vAlign w:val="bottom"/>
            <w:gridSpan w:val="3"/>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875</w:t>
            </w:r>
            <w:r>
              <w:rPr>
                <w:rFonts w:ascii="Times New Roman" w:cs="Times New Roman" w:eastAsia="Times New Roman" w:hAnsi="Times New Roman"/>
                <w:sz w:val="15"/>
                <w:szCs w:val="15"/>
                <w:color w:val="auto"/>
              </w:rPr>
              <w:t>(4)</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19.08</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6/10/2030</w:t>
            </w:r>
          </w:p>
        </w:tc>
        <w:tc>
          <w:tcPr>
            <w:tcW w:w="0" w:type="dxa"/>
            <w:vAlign w:val="bottom"/>
          </w:tcPr>
          <w:p>
            <w:pPr>
              <w:spacing w:after="0"/>
              <w:rPr>
                <w:sz w:val="1"/>
                <w:szCs w:val="1"/>
                <w:color w:val="auto"/>
              </w:rPr>
            </w:pPr>
          </w:p>
        </w:tc>
      </w:tr>
      <w:tr>
        <w:trPr>
          <w:trHeight w:val="198"/>
        </w:trPr>
        <w:tc>
          <w:tcPr>
            <w:tcW w:w="4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Philippe Deschamps (5)</w:t>
            </w:r>
          </w:p>
        </w:tc>
        <w:tc>
          <w:tcPr>
            <w:tcW w:w="54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Joyce LaViscount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21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(6)</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438.20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4,285</w:t>
            </w:r>
          </w:p>
        </w:tc>
        <w:tc>
          <w:tcPr>
            <w:tcW w:w="21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(7)</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112.00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3,428</w:t>
            </w:r>
          </w:p>
        </w:tc>
        <w:tc>
          <w:tcPr>
            <w:tcW w:w="21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(8)</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187.25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3,428</w:t>
            </w:r>
          </w:p>
        </w:tc>
        <w:tc>
          <w:tcPr>
            <w:tcW w:w="2160" w:type="dxa"/>
            <w:vAlign w:val="bottom"/>
            <w:gridSpan w:val="3"/>
          </w:tcPr>
          <w:p>
            <w:pPr>
              <w:jc w:val="right"/>
              <w:ind w:right="504"/>
              <w:spacing w:after="0"/>
              <w:rPr>
                <w:sz w:val="20"/>
                <w:szCs w:val="20"/>
                <w:color w:val="auto"/>
              </w:rPr>
            </w:pPr>
            <w:r>
              <w:rPr>
                <w:rFonts w:ascii="Times New Roman" w:cs="Times New Roman" w:eastAsia="Times New Roman" w:hAnsi="Times New Roman"/>
                <w:sz w:val="18"/>
                <w:szCs w:val="18"/>
                <w:color w:val="auto"/>
              </w:rPr>
              <w:t>1,143</w:t>
            </w:r>
            <w:r>
              <w:rPr>
                <w:rFonts w:ascii="Times New Roman" w:cs="Times New Roman" w:eastAsia="Times New Roman" w:hAnsi="Times New Roman"/>
                <w:sz w:val="15"/>
                <w:szCs w:val="15"/>
                <w:color w:val="auto"/>
              </w:rPr>
              <w:t>(9)</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284.55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1,476</w:t>
            </w:r>
          </w:p>
        </w:tc>
        <w:tc>
          <w:tcPr>
            <w:tcW w:w="2160" w:type="dxa"/>
            <w:vAlign w:val="bottom"/>
            <w:gridSpan w:val="3"/>
          </w:tcPr>
          <w:p>
            <w:pPr>
              <w:jc w:val="right"/>
              <w:ind w:right="424"/>
              <w:spacing w:after="0"/>
              <w:rPr>
                <w:sz w:val="20"/>
                <w:szCs w:val="20"/>
                <w:color w:val="auto"/>
              </w:rPr>
            </w:pPr>
            <w:r>
              <w:rPr>
                <w:rFonts w:ascii="Times New Roman" w:cs="Times New Roman" w:eastAsia="Times New Roman" w:hAnsi="Times New Roman"/>
                <w:sz w:val="18"/>
                <w:szCs w:val="18"/>
                <w:color w:val="auto"/>
              </w:rPr>
              <w:t>809</w:t>
            </w:r>
            <w:r>
              <w:rPr>
                <w:rFonts w:ascii="Times New Roman" w:cs="Times New Roman" w:eastAsia="Times New Roman" w:hAnsi="Times New Roman"/>
                <w:sz w:val="15"/>
                <w:szCs w:val="15"/>
                <w:color w:val="auto"/>
              </w:rPr>
              <w:t>(10)</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384.65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c>
          <w:tcPr>
            <w:tcW w:w="2160" w:type="dxa"/>
            <w:vAlign w:val="bottom"/>
            <w:gridSpan w:val="3"/>
          </w:tcPr>
          <w:p>
            <w:pPr>
              <w:jc w:val="right"/>
              <w:ind w:right="424"/>
              <w:spacing w:after="0"/>
              <w:rPr>
                <w:sz w:val="20"/>
                <w:szCs w:val="20"/>
                <w:color w:val="auto"/>
              </w:rPr>
            </w:pPr>
            <w:r>
              <w:rPr>
                <w:rFonts w:ascii="Times New Roman" w:cs="Times New Roman" w:eastAsia="Times New Roman" w:hAnsi="Times New Roman"/>
                <w:sz w:val="18"/>
                <w:szCs w:val="18"/>
                <w:color w:val="auto"/>
              </w:rPr>
              <w:t>2,143</w:t>
            </w:r>
            <w:r>
              <w:rPr>
                <w:rFonts w:ascii="Times New Roman" w:cs="Times New Roman" w:eastAsia="Times New Roman" w:hAnsi="Times New Roman"/>
                <w:sz w:val="15"/>
                <w:szCs w:val="15"/>
                <w:color w:val="auto"/>
              </w:rPr>
              <w:t>(11)</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236.60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1,339</w:t>
            </w:r>
          </w:p>
        </w:tc>
        <w:tc>
          <w:tcPr>
            <w:tcW w:w="2160" w:type="dxa"/>
            <w:vAlign w:val="bottom"/>
            <w:gridSpan w:val="3"/>
          </w:tcPr>
          <w:p>
            <w:pPr>
              <w:jc w:val="right"/>
              <w:ind w:right="424"/>
              <w:spacing w:after="0"/>
              <w:rPr>
                <w:sz w:val="20"/>
                <w:szCs w:val="20"/>
                <w:color w:val="auto"/>
              </w:rPr>
            </w:pPr>
            <w:r>
              <w:rPr>
                <w:rFonts w:ascii="Times New Roman" w:cs="Times New Roman" w:eastAsia="Times New Roman" w:hAnsi="Times New Roman"/>
                <w:sz w:val="18"/>
                <w:szCs w:val="18"/>
                <w:color w:val="auto"/>
              </w:rPr>
              <w:t>2,946</w:t>
            </w:r>
            <w:r>
              <w:rPr>
                <w:rFonts w:ascii="Times New Roman" w:cs="Times New Roman" w:eastAsia="Times New Roman" w:hAnsi="Times New Roman"/>
                <w:sz w:val="15"/>
                <w:szCs w:val="15"/>
                <w:color w:val="auto"/>
              </w:rPr>
              <w:t>(12)</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60.55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9/23/2029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gridSpan w:val="3"/>
          </w:tcPr>
          <w:p>
            <w:pPr>
              <w:jc w:val="right"/>
              <w:ind w:right="424"/>
              <w:spacing w:after="0"/>
              <w:rPr>
                <w:sz w:val="20"/>
                <w:szCs w:val="20"/>
                <w:color w:val="auto"/>
              </w:rPr>
            </w:pPr>
            <w:r>
              <w:rPr>
                <w:rFonts w:ascii="Times New Roman" w:cs="Times New Roman" w:eastAsia="Times New Roman" w:hAnsi="Times New Roman"/>
                <w:sz w:val="18"/>
                <w:szCs w:val="18"/>
                <w:color w:val="auto"/>
              </w:rPr>
              <w:t>2,857</w:t>
            </w:r>
            <w:r>
              <w:rPr>
                <w:rFonts w:ascii="Times New Roman" w:cs="Times New Roman" w:eastAsia="Times New Roman" w:hAnsi="Times New Roman"/>
                <w:sz w:val="15"/>
                <w:szCs w:val="15"/>
                <w:color w:val="auto"/>
              </w:rPr>
              <w:t>(13)</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13.825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10/5/2030</w:t>
            </w: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Jonathan Sackier</w:t>
            </w: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2,285</w:t>
            </w:r>
          </w:p>
        </w:tc>
        <w:tc>
          <w:tcPr>
            <w:tcW w:w="2160" w:type="dxa"/>
            <w:vAlign w:val="bottom"/>
            <w:gridSpan w:val="3"/>
            <w:shd w:val="clear" w:color="auto" w:fill="CCEEFF"/>
          </w:tcPr>
          <w:p>
            <w:pPr>
              <w:jc w:val="right"/>
              <w:ind w:right="424"/>
              <w:spacing w:after="0" w:line="198" w:lineRule="exact"/>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(14)</w:t>
            </w:r>
          </w:p>
        </w:tc>
        <w:tc>
          <w:tcPr>
            <w:tcW w:w="1160" w:type="dxa"/>
            <w:vAlign w:val="bottom"/>
            <w:gridSpan w:val="2"/>
            <w:shd w:val="clear" w:color="auto" w:fill="CCEEFF"/>
          </w:tcPr>
          <w:p>
            <w:pPr>
              <w:jc w:val="right"/>
              <w:ind w:right="600"/>
              <w:spacing w:after="0" w:line="198" w:lineRule="exact"/>
              <w:rPr>
                <w:sz w:val="20"/>
                <w:szCs w:val="20"/>
                <w:color w:val="auto"/>
              </w:rPr>
            </w:pPr>
            <w:r>
              <w:rPr>
                <w:rFonts w:ascii="Times New Roman" w:cs="Times New Roman" w:eastAsia="Times New Roman" w:hAnsi="Times New Roman"/>
                <w:sz w:val="18"/>
                <w:szCs w:val="18"/>
                <w:color w:val="auto"/>
              </w:rPr>
              <w:t>445.20</w:t>
            </w:r>
          </w:p>
        </w:tc>
        <w:tc>
          <w:tcPr>
            <w:tcW w:w="92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12/8/2024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3,428</w:t>
            </w:r>
          </w:p>
        </w:tc>
        <w:tc>
          <w:tcPr>
            <w:tcW w:w="2160" w:type="dxa"/>
            <w:vAlign w:val="bottom"/>
            <w:gridSpan w:val="3"/>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(8)</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187.25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1,143</w:t>
            </w:r>
            <w:r>
              <w:rPr>
                <w:rFonts w:ascii="Times New Roman" w:cs="Times New Roman" w:eastAsia="Times New Roman" w:hAnsi="Times New Roman"/>
                <w:sz w:val="15"/>
                <w:szCs w:val="15"/>
                <w:color w:val="auto"/>
              </w:rPr>
              <w:t>(9)</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284.55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809</w:t>
            </w:r>
            <w:r>
              <w:rPr>
                <w:rFonts w:ascii="Times New Roman" w:cs="Times New Roman" w:eastAsia="Times New Roman" w:hAnsi="Times New Roman"/>
                <w:sz w:val="15"/>
                <w:szCs w:val="15"/>
                <w:color w:val="auto"/>
              </w:rPr>
              <w:t>(10)</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384.65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5/15/2028</w:t>
            </w: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shd w:val="clear" w:color="auto" w:fill="CCEEFF"/>
          </w:tcPr>
          <w:p>
            <w:pPr>
              <w:spacing w:after="0"/>
              <w:rPr>
                <w:sz w:val="20"/>
                <w:szCs w:val="20"/>
                <w:color w:val="auto"/>
              </w:rPr>
            </w:pPr>
          </w:p>
        </w:tc>
        <w:tc>
          <w:tcPr>
            <w:tcW w:w="2160" w:type="dxa"/>
            <w:vAlign w:val="bottom"/>
            <w:gridSpan w:val="3"/>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2,143</w:t>
            </w:r>
            <w:r>
              <w:rPr>
                <w:rFonts w:ascii="Times New Roman" w:cs="Times New Roman" w:eastAsia="Times New Roman" w:hAnsi="Times New Roman"/>
                <w:sz w:val="15"/>
                <w:szCs w:val="15"/>
                <w:color w:val="auto"/>
              </w:rPr>
              <w:t>(11)</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236.60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2160" w:type="dxa"/>
            <w:vAlign w:val="bottom"/>
            <w:gridSpan w:val="3"/>
          </w:tcPr>
          <w:p>
            <w:pPr>
              <w:jc w:val="right"/>
              <w:ind w:right="424"/>
              <w:spacing w:after="0"/>
              <w:rPr>
                <w:sz w:val="20"/>
                <w:szCs w:val="20"/>
                <w:color w:val="auto"/>
              </w:rPr>
            </w:pPr>
            <w:r>
              <w:rPr>
                <w:rFonts w:ascii="Times New Roman" w:cs="Times New Roman" w:eastAsia="Times New Roman" w:hAnsi="Times New Roman"/>
                <w:sz w:val="18"/>
                <w:szCs w:val="18"/>
                <w:color w:val="auto"/>
              </w:rPr>
              <w:t>1,428</w:t>
            </w:r>
            <w:r>
              <w:rPr>
                <w:rFonts w:ascii="Times New Roman" w:cs="Times New Roman" w:eastAsia="Times New Roman" w:hAnsi="Times New Roman"/>
                <w:sz w:val="15"/>
                <w:szCs w:val="15"/>
                <w:color w:val="auto"/>
              </w:rPr>
              <w:t>(15)</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11.20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4/16/20230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gridSpan w:val="3"/>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1,714</w:t>
            </w:r>
            <w:r>
              <w:rPr>
                <w:rFonts w:ascii="Times New Roman" w:cs="Times New Roman" w:eastAsia="Times New Roman" w:hAnsi="Times New Roman"/>
                <w:sz w:val="15"/>
                <w:szCs w:val="15"/>
                <w:color w:val="auto"/>
              </w:rPr>
              <w:t>(13)</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13.825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10/5/2030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0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August 8, 2017. The shares vest in equal annual installments over 4 years from the date of grant.</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May 17, 2018. All of the shares subject to the option have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28, 2019. All of the shares subject to the option have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June 10, 2020. The shares vest in monthly annual installments over 12 months from the date of grant.</w:t>
      </w:r>
    </w:p>
    <w:p>
      <w:pPr>
        <w:spacing w:after="0" w:line="9"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termination of Mr. Deschamps’ employment on August 23, 2020, his remaining unvested options were forfeited pursuant to the terms of the applicable award agreements.</w:t>
      </w: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16, 2015. All of the shares subject to the option have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October 21, 2015. All of the shares subject to the option have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July 13, 2016. All of the shares subject to the option have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April 17, 2017. The shares vest in equal monthly installments over 48 months from the date of grant.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May 15, 2018. The shares vest in equal monthly installments over 48 months from the date of grant.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28, 2019. The shares vest in equal annual installments over 4 years from the date of grant.</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September 23, 2019. 25% of the shares subject to the grant vest on September 23, 2020, and the remaining shares vest in equal monthly installments over the remaining 36 months.</w:t>
      </w: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October 5, 2020. The shares vest in equal annual installments over 2 years from the date of grant.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December 8, 2014. All of the shares subject to the option have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April 16, 2020. The shares vest in equal annual installments over 4 years from the date of grant.</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60"/>
          </w:cols>
          <w:pgMar w:left="320" w:top="455" w:right="51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2017 to which we have been a party, in which the amount involved in the transaction exceeded $120,000 (which is less than 1% of the average of our total assets at year end for the last two completed fiscal years),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Montel Media, Inc.</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In April 2016, we entered into a consulting agreement with Montel Media, Inc. (“Montel Media”), an owner of over 5% of our Common Stock at the time, pursuant to which Montel Media provides consulting services for the promotion of our clinical trials and ongoing media and marketing strategies. Under the agreement, Montel Media receives $15,000 per month. This consulting agreement was terminated in February 2018. We paid Montel Media $0, $45,000 and $0.2 million for the years ended December 31, 2019, 2018 and 2017, respectively, pursuant to the consulting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Clinvue LLC</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Chief Medical Officer, Jonathan Sackier, was a founding member of Clinvue LLC, which provided regulatory advisory services for the Company. Clinvue ceased operations as of December 31, 2018. We paid Clinvue LLC approximately $0.1 million for consulting services in each of the years ended December 31, 2018 and 2017. We made no payments to Clinvue for the year ended December 31,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November 2019 Public Offering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November 2019, we issued 137,571 shares of our common stock in an underwritten public offering. Entities affiliated with Maple Leaf Partners, LP, for which Dane C. Andreeff, our Interim President and Chief Executive Officer and director, serves as General Partner and Portfolio Manager, purchased approximately $0.2 million, or 16,326, of the shares of common stock offered thereby. Each share of common stock was purchased at a price of $12.25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October 2020 Private Placement</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October 2020, we issued 187,646 shares of common stock and warrants to purchase an aggregate of 93,817 shares of common stock, for an aggregate purchase price of approximately $3.4 million. Entities affiliated with Maple Leaf Partners, L.P., for which Dane C. Andreeff, our Interim President and Chief Executive Officer serves as General Partner and Portfolio Manager, purchased 33,778 shares and warrants to purchase 16,887 shares for an aggregate purchase price of $620,000, and Ms. LaViscount, our Chief Financial Officer and Chief Operating Officer purchased 1,089 shares and warrants to purchase 544 shares for an aggregate purchase price of $20,000. Such affiliated purchasers participated on the same terms and conditions as all other purchasers, except that they had a purchase price of $18.354 per unit, and their warrants have an exercise price of $16.1665 per share.</w:t>
      </w:r>
    </w:p>
    <w:p>
      <w:pPr>
        <w:spacing w:after="0" w:line="17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purchase agreement for the October 2020 Private Placement, if we issue any shares of common stock or common stock equivalents for cash consideration, indebtedness or a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Amended and Restated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applicable law and the Company’s Amended and Restated Bylaws.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January 11, 2021 by: (i) each director; (ii) each of our named executive officers; (iii) all executive officers and directors of the Company as a group; and (iv) all those known by the Company to be beneficial owners of more than five percent of our common stock.</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warrants and the exercise of stock options that are either immediately exercisable or exercisable within 60 days of January 11, 2021. These shares are deemed to be outstanding and beneficially owned by the person holding those warrants or options for the purpose of computing the percentage ownership of that person, but they are not treated as outstanding for the purpose of computing the percentage ownership of any other person. This table is based on information supplied by officers, directors and principal stockholders and Schedule 13D, Schedule 13G and Section 16 filings, if any, with the SEC. Unless otherwise indicated, the persons or entities identified in this table have sole voting and investment power with respect to all shares shown as beneficially owned by them, subject to applicable community property laws.</w:t>
      </w:r>
    </w:p>
    <w:p>
      <w:pPr>
        <w:spacing w:after="0" w:line="17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Helius Medical Technology, Inc., 642 Newtown Yardley Road, Suite 100, Newtown, Pennsylvania 18940.</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7620</wp:posOffset>
            </wp:positionV>
            <wp:extent cx="642937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Columbus Capital Management LLC (2)</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A&amp;B (HK) Company Limited (3)</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Sabby Volatility Warrant Master Fund, Ltd.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Philippe Deschamps (5)</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Joyce LaViscount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Jonathan Sackier (7)</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Edward M. Straw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Mitchell E. Tyler (9)</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Blane Walter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Dane C. Andreeff (11)</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Jeffrey S. Mathiesen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-121920</wp:posOffset>
            </wp:positionV>
            <wp:extent cx="642937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(7 persons) (13)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Beneficial</w:t>
      </w: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Ownership (1)</w:t>
      </w:r>
    </w:p>
    <w:tbl>
      <w:tblPr>
        <w:tblLayout w:type="fixed"/>
        <w:tblInd w:w="0" w:type="dxa"/>
        <w:tblCellMar>
          <w:top w:w="0" w:type="dxa"/>
          <w:left w:w="0" w:type="dxa"/>
          <w:bottom w:w="0" w:type="dxa"/>
          <w:right w:w="0" w:type="dxa"/>
        </w:tblCellMar>
      </w:tblPr>
      <w:tr>
        <w:trPr>
          <w:trHeight w:val="117"/>
        </w:trPr>
        <w:tc>
          <w:tcPr>
            <w:tcW w:w="1140" w:type="dxa"/>
            <w:vAlign w:val="bottom"/>
            <w:tcBorders>
              <w:top w:val="single" w:sz="8" w:color="auto"/>
            </w:tcBorders>
            <w:gridSpan w:val="2"/>
          </w:tcPr>
          <w:p>
            <w:pPr>
              <w:jc w:val="center"/>
              <w:ind w:right="440"/>
              <w:spacing w:after="0" w:line="117"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5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6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160,805</w:t>
            </w:r>
          </w:p>
        </w:tc>
        <w:tc>
          <w:tcPr>
            <w:tcW w:w="460" w:type="dxa"/>
            <w:vAlign w:val="bottom"/>
          </w:tcPr>
          <w:p>
            <w:pPr>
              <w:spacing w:after="0"/>
              <w:rPr>
                <w:sz w:val="17"/>
                <w:szCs w:val="17"/>
                <w:color w:val="auto"/>
              </w:rPr>
            </w:pPr>
          </w:p>
        </w:tc>
        <w:tc>
          <w:tcPr>
            <w:tcW w:w="4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71,306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81,632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22,371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20,356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31,522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3,773</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26,154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5,980</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94,316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183,412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100"/>
          </w:cols>
          <w:pgMar w:left="320" w:top="455" w:right="459" w:bottom="1440" w:gutter="0" w:footer="0" w:header="0"/>
          <w:type w:val="continuous"/>
        </w:sectPr>
      </w:pPr>
    </w:p>
    <w:p>
      <w:pPr>
        <w:spacing w:after="0" w:line="25"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2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1,566,163 shares outstanding on January 11, 2021, adjusted as required by rules promulgated by the SEC.</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146,520 shares of Common stock, and 14,285 shares of Common stock issuable upon the exercise of warrants. Columbus Capital Management, LLC, which serves as the general partner and investment manager to each of Columbus Capital QP Partners, L.P., Columbus Capital Partners, L.P., and Columbus Capital Offshore QP Fund, LTD. (collectively “the Funds”), and Mr. Matthew D. Ockner, as Managing Member of Columbus Capital Management, LLC, with the power to exercise investment and voting discretion, may be deemed to be the beneficial owner of all shares of Common stock held by the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type w:val="continuous"/>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60"/>
        <w:spacing w:after="0" w:line="257" w:lineRule="auto"/>
        <w:rPr>
          <w:sz w:val="20"/>
          <w:szCs w:val="20"/>
          <w:color w:val="auto"/>
        </w:rPr>
      </w:pPr>
      <w:r>
        <w:rPr>
          <w:rFonts w:ascii="Times New Roman" w:cs="Times New Roman" w:eastAsia="Times New Roman" w:hAnsi="Times New Roman"/>
          <w:sz w:val="18"/>
          <w:szCs w:val="18"/>
          <w:color w:val="auto"/>
        </w:rPr>
        <w:t>Funds. The business address of Matthew D. Ockner is 1 Embarcadero Center, Suite 1130, San Francisco, CA 94111. The percentage in this table reflects that the reporting persons may not exercise the warrants to the extent such exercise would cause the reporting persons to beneficially own a number of shares of common stock that would exceed 9.99% of our then outstanding common stock following such exercise.</w:t>
      </w:r>
    </w:p>
    <w:p>
      <w:pPr>
        <w:spacing w:after="0" w:line="1" w:lineRule="exact"/>
        <w:rPr>
          <w:sz w:val="20"/>
          <w:szCs w:val="20"/>
          <w:color w:val="auto"/>
        </w:rPr>
      </w:pPr>
    </w:p>
    <w:p>
      <w:pPr>
        <w:ind w:left="540" w:right="18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71,306 shares of Common stock. Dr. Lam Kong is the sole officer and director of each A&amp;B and A&amp;B Brother Limited (“A&amp;B BVI”). The business address of A&amp;B BVI is Trident Chambers, P.O. Box 146, Road Town, Tortola, British Virgin Islands. The business address of Dr. Lam Kong is Unit 2106, 21/F, Island Place Tower, 510 King’s Road, North Point, Hong Kong.</w:t>
      </w:r>
    </w:p>
    <w:p>
      <w:pPr>
        <w:spacing w:after="0" w:line="1" w:lineRule="exact"/>
        <w:rPr>
          <w:rFonts w:ascii="Times New Roman" w:cs="Times New Roman" w:eastAsia="Times New Roman" w:hAnsi="Times New Roman"/>
          <w:sz w:val="18"/>
          <w:szCs w:val="18"/>
          <w:color w:val="auto"/>
        </w:rPr>
      </w:pPr>
    </w:p>
    <w:p>
      <w:pPr>
        <w:jc w:val="both"/>
        <w:ind w:left="540" w:right="180" w:hanging="424"/>
        <w:spacing w:after="0" w:line="265" w:lineRule="auto"/>
        <w:tabs>
          <w:tab w:leader="none" w:pos="5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81,632 shares issuable upon the exercise of warrants. Sabby Volatility Warrant Master Fund, Ltd. (“Sabby”), Sabby Management, LLC (“Sabby Management”) and Hal Mintz have shared voting and investment power with respect to these shares. Sabby Management serves as the investment manager of Sabby; Mr. Mintz is manager of Sabby Management. The address for Sabby is c/o Ogier Fiduciary Services (Cayman)</w:t>
      </w:r>
    </w:p>
    <w:p>
      <w:pPr>
        <w:ind w:left="540" w:right="4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Limited, 89 Nexus Way, Camana Bay, Grand Cayman KY1-9007, Cayman Islands. The address for Sabby Management and Mr. Mintz is 10 Mountainview Road, Suite 205, Upper Saddle River, New Jersey 07458.</w:t>
      </w:r>
    </w:p>
    <w:p>
      <w:pPr>
        <w:ind w:left="540" w:right="60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Deschamps stepped down from his roles as President and Chief Executive Officer and director effective August 23, 2020 upon mutual agreement with the Board. The information presented is based on the former officer’s last filed Form 4 and company records.</w:t>
      </w:r>
    </w:p>
    <w:p>
      <w:pPr>
        <w:ind w:left="540" w:right="6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4,239 shares of Common stock, 15,573 shares of Common stock issuable upon the exercise of stock options, and 544 shares of Common stock issuable upon the exercise of warrants.</w:t>
      </w: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20,096 shares of Common stock and 11,426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 shares of Common stock and 3,702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23,701 shares of Common stock and 2,453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2,414 shares of Common stock and 3,566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40,586 shares of common stock and 9,116 shares of common stock issuable upon the exercise of warrants held by Maple Leaf Partners, L.P., 8,598 shares of common stock and 1,926 shares of common stock issuable upon the exercise of warrants held by Maple Leaf Partners I, L.P., 23,309 shares of common stock and 5,312 shares of common stock issuable upon the exercise of warrants held by Maple Leaf Discovery I, L.P., 1,684 shares of common stock and 533 shares of common stock issuable upon the exercise of warrants held by Maple Leaf Offshore, Ltd., 571 shares on common stock held directly by Mr. Andreeff and 2,679 shares of common stock issuable upon the exercise of stock options held directly by Mr. Andreeff. Mr. Andreeff has sole voting and dispositive power over shares held by Maple Leaf Partners, L.P., Maple Leaf Partners I, L.P., Maple Leaf Discovery I, L.P. and Maple Leaf Offshore, Ltd.</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1,312 shares of Common Stock issuable upon the exercise of stock options.</w:t>
      </w:r>
    </w:p>
    <w:p>
      <w:pPr>
        <w:spacing w:after="0" w:line="9" w:lineRule="exact"/>
        <w:rPr>
          <w:rFonts w:ascii="Times New Roman" w:cs="Times New Roman" w:eastAsia="Times New Roman" w:hAnsi="Times New Roman"/>
          <w:sz w:val="18"/>
          <w:szCs w:val="18"/>
          <w:color w:val="auto"/>
        </w:rPr>
      </w:pPr>
    </w:p>
    <w:p>
      <w:pPr>
        <w:ind w:left="540" w:right="340" w:hanging="424"/>
        <w:spacing w:after="0" w:line="26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147,640 shares of Common Stock, 40,710 shares of Common stock issuable upon the exercise of stock options, and 17,433 shares of Common stock issuable upon the exercise of warrants.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offering 647,772 Units, with each Unit consisting of one share of common stock and a Warrant to purchase 0.5 shares of our common stock (together with the shares of common stock underlying such Warrants) at a public offering price of $14.82 per Unit. Each Warrant included in the Units entitles its holder to purchase 0.5 shares of common stock at an exercise price of $16.302.</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securities of which the Units are composed (the “underlying securities”) are being sold in this offering only as part of the units. However, the Units will not be certificated and the underlying securities comprising such Units are immediately separable. Each underlying security purchased in this offering will be issued independent of each other underlying security and not as part of a unit. Upon issuance, each underlying security may be transferred independent of any other underlying security, subject to applicable law and transfer restrictions.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Warrants Included in the Units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the Warrants being offered pursuant to this prospectus are summarized below. This summary of some provisions of the Warrants is not complete, and is qualified in its entirety by, the provisions of the Warrant. For the complete terms of the Warrants, you should refer to the form of warrant filed as an exhibit to the registration statement of which this prospectus is a part.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a warrant agency agreement between us and American Stock Transfer &amp; Trust Company LLC, as warrant agent, the Warrants will be issued in book-entry form and shall initially be represented only by one or more global warrants deposited with the warrant agent, as custodian on behalf of The Depository Trust Company, or DTC, and registered in the name of Cede &amp; Co., a nominee of DTC, or as otherwise directed by DTC.</w:t>
      </w:r>
    </w:p>
    <w:p>
      <w:pPr>
        <w:spacing w:after="0" w:line="174"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Warrants are immediately exercisable and will expire on the date that is five years after their original issuance.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exercisable, at the option of each holder, in whole or in part by delivering to us a duly executed exercise notice. In no event may the Warrants be net cash settled.</w:t>
      </w:r>
    </w:p>
    <w:p>
      <w:pPr>
        <w:spacing w:after="0" w:line="173"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Warrant if the holder (together with its affiliates)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in excess of 4.99% of our then outstanding common stock following such exercise; provided, however, that upon prior notice to us, such holder may increase its ownership, provided that in no event will the ownership exceed 9.99%, as such percentage ownership is determined in accordance with the terms of the Warrants. However, any holder may increase or decrease such percentage, provided that any increase will not be effective until the 61st day after such election.</w:t>
      </w:r>
    </w:p>
    <w:p>
      <w:pPr>
        <w:spacing w:after="0" w:line="18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Warrants will have an exercise price of $16.302 per share (110% of the per Unit offering price). The exercise price is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17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If, at the time a holder exercises its Warrant, there is no effective registration statement registering, or the prospectus contained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is not available for an issuance of the shares underlying the Warrant to the holder,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Warrants may be offered for sale, sold, transferred or assigned without our consent.</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established trading market for the Warrants being offered and we do not expect a market to develop. In addition,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 not intend to apply for the listing of the Warrants on any national securities exchange or other trading market. Without an active trading market, the liquidity of the Warrants will be limited.</w:t>
      </w:r>
    </w:p>
    <w:p>
      <w:pPr>
        <w:spacing w:after="0" w:line="17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If a fundamental transaction occurs, then the successor entity will succeed to, and be substituted for us,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every right and power that we may exercise and will assume all of our obligations under the Warrants with the same effect as if such successor entity had been named in the warrant itself. If holders of our common stock are given a choice as to the securities, cash or property to be received in a fundamental transaction, then the holder shall be given the same choice as to the consideration it receives upon any exercise of the warrant following such fundamental transaction. Additionally, as more fully described in the Warrant, in the event of certain fundamental transactions, the holders of the Warrants will be entitled to receive consideration in an amount equal to the Black Scholes value of the Warrants on the date of consummation of the transaction.</w:t>
      </w:r>
    </w:p>
    <w:p>
      <w:pPr>
        <w:spacing w:after="0" w:line="18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Warrants or by virtue of such holder’s ownership of shares of our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 Warrant does not have the rights or privileges of a holder of our common stock, including any voting rights, until the holder exercises the Warrant.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Underwriter 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material terms and provisions of the underwriter warrants being offered pursuant to this prospectus are summarized above in the section entitled “Description of Warrants Included in the Units.” The terms of the underwriter warrants are substantially similar to the terms of the warrants to be issued to investors, except that the exercise price of the underwriter warrants is 125% of the per Unit offering price and the expiration date is five years from the consummation of sales in this offering. The summary of some provisions of the underwriter warrants is not complete, and is qualified in its entirety by, the provisions of the underwriter warrant. For the complete terms of the underwriter warrants, you should refer to the form of underwriter warrant filed as an exhibit to the registration statement of which this prospectus is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9" w:lineRule="exact"/>
        <w:rPr>
          <w:sz w:val="20"/>
          <w:szCs w:val="20"/>
          <w:color w:val="auto"/>
        </w:rPr>
      </w:pPr>
    </w:p>
    <w:p>
      <w:pPr>
        <w:jc w:val="both"/>
        <w:ind w:left="120" w:right="7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Amended and Restated Bylaws are summaries. You should also refer to the Certificate of Incorporation and the Amended and Restated Bylaws, which are filed as exhibits to the registration statement of which this prospectus is a part.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150,000,000 shares of common stock and 10,000,000 shares of preferred stock, par value $0.001 per share, all of which shares of preferred stock are currently undesignated. Our board of directors may establish the rights and preferences of the preferred stock from time to time.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January 11, 2021, there were (i) 1,566,163 shares of common stock outstanding; (ii) no outstanding shares of preferred stock; (iii) 111,074 shares of common stock issuable upon the exercise of outstanding stock options; and (iv) 260,272 shares of common stock issuable upon the exercise of outstanding warrants. 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the Company to comply with Nasdaq’s continued listing requirements. Following such meeting, our board of directors approved a final reverse stock split ratio of 1-for-35.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 adjusted basis on The Nasadaq Capital Market and TSX on January 4, 2021. All share and per share amounts presented herein have been retroactively adjusted to reflect the reverse stock split.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our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under our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1" w:lineRule="exact"/>
        <w:rPr>
          <w:sz w:val="20"/>
          <w:szCs w:val="20"/>
          <w:color w:val="auto"/>
        </w:rPr>
      </w:pPr>
    </w:p>
    <w:p>
      <w:pPr>
        <w:ind w:left="1080" w:right="1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or consolidation involving the corporation or any direct or indirect majority-owned subsidiary of the corporation and the interested stockholder;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 (in one transaction or a series of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Amended and Restated Bylaws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all stockholder actions must be effected at a duly called meeting of stockholders and eliminate the right of stockholders to act by written consent without a meeting. Our Amended and Restated Bylaws also provide that only our Chairman of the board of directors,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At any meeting of stockholders for the election of directors at which a quorum is present, the election will be determined by a plurality of the votes cast by the stockholders entitled to vote at the election.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Amended and Restated Bylaws provide that the stockholders cannot amend many of the provisions described above except by a vote of 66 2/3% or more of our outstanding Common stock. As described above, our Certificate of Incorporation gives our board of directors the authority, without further action by our stockholders, to issue up to 10,000,000 shares of preferred stock in one or more series.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Delaware General Corporation Law, our Certificate of Incorporation or our Amended and Restated Bylaws;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does not apply to suits brought to enforce a duty or liability created by the Exchange Act.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Participation Rights of Investors in October 2020 Private Placement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for the October 2020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of A&amp;B</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convertible notes issued to A&amp;B (HK) Company Limited in October 2015 and December 2015, we agreed to register any shares issued upon the conversion of such convertible notes upon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60"/>
          </w:cols>
          <w:pgMar w:left="320" w:top="455" w:right="51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request of A&amp;B (HK) Company Limited. As of January 11, 2021, A&amp;B (HK) Company Limited beneficially owned 71,306 shares of Common stock that were issued upon the conversion of such convertible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the registrar for the Company is American Stock Transfer &amp; Trust Company LLC, 6201 15th Avenue, Brooklyn, New York 11219; Telephone: 800-937-5449.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Listing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“HSDT” and on the TSX under the symbol “HSM.” See “Prospectus Summary—Recent Developments” in this prospectus for important information about the listing of our common stock on The Nasdaq Capital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are offering the Units described in this prospectus through the underwriter named below. Ladenburg Thalmann &amp; Co. Inc. is acting as the representative of the underwriters in this offering. Subject to the terms and conditions of the underwriting agreement, the underwriter has agreed to purchase the number of our securities set forth opposite its name below.</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647,772</w:t>
            </w:r>
          </w:p>
        </w:tc>
      </w:tr>
      <w:tr>
        <w:trPr>
          <w:trHeight w:val="228"/>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647,772</w:t>
            </w:r>
          </w:p>
        </w:tc>
        <w:tc>
          <w:tcPr>
            <w:tcW w:w="60" w:type="dxa"/>
            <w:vAlign w:val="bottom"/>
          </w:tcPr>
          <w:p>
            <w:pPr>
              <w:spacing w:after="0"/>
              <w:rPr>
                <w:sz w:val="19"/>
                <w:szCs w:val="19"/>
                <w:color w:val="auto"/>
              </w:rPr>
            </w:pPr>
          </w:p>
        </w:tc>
      </w:tr>
    </w:tbl>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copy of the underwriting agreement has been filed as an exhibit to the registration statement of which this prospectus is part.</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been advised by the underwriter that it proposes to offer the Units directly to the public at the public offering price set forth on the cover page of this prospectus. Any securities sold by the underwriter to securities dealers will be sold at the public offering price less a selling concession not in excess of $0.71088 per share and $0.00048 per Warrant.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the securities we are offering is subject to conditions contained in the underwriting agreement.</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No action has been taken by us or the underwriter that would permit a public offering of the Units, or the shares of common stock and Warrants included in the Units in any jurisdiction outside the United States where action for that purpose is required, including Canada. None of our securities included in this offering may be offered or sold, directly or indirectly, nor may this prospectus or any other offering material or advertisements in connection with the offer and sales of any of the securities offering hereby be distributed or published in any jurisdiction except under circumstances that will result in compliance with the applicable rules and regulations of that jurisdiction. Persons who receive this prospectus are advised to inform themselves about and to observe any restrictions relating to this offering of securities and the distribution of this prospectus. This prospectus is neither an offer to sell nor a solicitation of any offer to buy the securities in any jurisdiction where that would not be permitted or legal. No sales of our securities under this prospectus will be made to a resident of Canada.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 has advised us that they do not intend to confirm sales to any account over which they exercise discretionary authority.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Discount and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underwriting discount and commission to be paid to the underwriter by us.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with</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Full</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0" w:type="dxa"/>
            <w:vAlign w:val="bottom"/>
          </w:tcPr>
          <w:p>
            <w:pPr>
              <w:spacing w:after="0"/>
              <w:rPr>
                <w:sz w:val="1"/>
                <w:szCs w:val="1"/>
                <w:color w:val="auto"/>
              </w:rPr>
            </w:pPr>
          </w:p>
        </w:tc>
      </w:tr>
      <w:tr>
        <w:trPr>
          <w:trHeight w:val="173"/>
        </w:trPr>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Unit(1)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9,599,981.04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11,039,951.52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to be paid to the underwriter by us (8.0%)(2)(3)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770,978.23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886,662.82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8,829,002.81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10,153,328.70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20" w:hanging="424"/>
        <w:spacing w:after="0" w:line="257"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and underwriting discount corresponds, in respect of the Units (i) a public offering price per share of common stock of $14.81 ($13.6252 net of the underwriting discount) and (ii) a public offering price per Warrant of $0.01 ($0.0092 net of the underwriting discount).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reimburse the accountable expenses of the underwriter, including legal fees, in this offering, up to a maximum of $92,000.</w:t>
      </w:r>
    </w:p>
    <w:p>
      <w:pPr>
        <w:spacing w:after="0" w:line="9"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a 45 day option to the underwriter to purchase up to an additional 97,164 shares of common stock and/or 48,582 Warrants at the public offering price per share of common stock and the public</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 per Warrant set forth above less the underwriting discounts and commissions solely to cover over-allotments, if any.</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the total expenses payable by us for this offering to be approximately $1.1 million, which amount includes (i) the underwriting discount of $0.8 million and (ii) reimbursement of the accountable expenses of the underwriter, including the legal fees of the underwriter and (iii) other estimated company expenses of approximately $350,000 which includes legal accounting printing costs and various fees associated with the registration and listing of the shares.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securities we are offering are being offered by the underwriter subject to certain conditions specified in the underwriting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Warrants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additional compensation to the underwriter upon consummation of this offering, we will issue to the underwriter or its designees warrants to purchase an aggregate number of shares of our common stock equal to 4.0% of the number of shares of common stock issued in this offering, at an exercise price per share equal to 125% of the public offering price (the “Underwriter’s Warrants”). The Underwriter’s Warrants will have a term of five years from the commencement of sales in this offering in accordance with FINRA Rule 5110(g)(8)(A).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 an option exercisable not later than 45 days after the date of this prospectus to purchase up to a number of additional shares of common stock and/or warrants equal to 15% of the number of shares of common stock sold in the primary offering and/or 15% of the warrants sold in the primary offering at the public offering price per share of common stock and the public offering price per Warrant set forth on the cover page hereto less the underwriting discounts and commissions. The underwriters may exercise the option solely to cover overallotments, if any, made in connection with this offering. If any additional shares of common stock and/or Warrants are purchased, the underwriters will offer these shares of common stock and/or Warrants on the same terms as those on which the other securities are being offered.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“HSDT” and on the TSX under the symbol “HSM.” See “Prospectus Summary—Recent Developments” for important information about the listing of our common stock on The Nasdaq Capital Market. We do not intend to apply for listing of the Warrants on any securities exchange or other trading system.</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public offering price of the securities offered by this prospectus will be determined by negotiation between us and the underwriter. Among the factors considered in determining the public offering price of the Units were;</w:t>
      </w:r>
    </w:p>
    <w:p>
      <w:pPr>
        <w:spacing w:after="0" w:line="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on The Nasdaq Capital Market during recent periods;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our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 experience of our executive officers;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including discussions between the underwriters and prospective investors.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offering price stated on the cover page of this prospectus should not be considered an indication of the actual value of the securities sold in this offering. That price is subject to change as a result of market conditions and other factors and we cannot assure you that the securities sold in this offering can be resold at or above the public offering price.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officers, directors and each of their respective affiliates and associated partners have agreed with the underwriter to be subject to a lock-up period of 90 days following the date of this prospectus. This means that, during the applicable lock-up period, such persons may not offer for sale, contract to sell, sell, distribute, grant any option, right or warrant to purchase, pledge, hypothecate or otherwise dispose of, directly or indirectly, any shares of our common stock or any securities convertible into, or exercisable or exchangeable for, shares of our common stock. Certain limited transfers are permitted during the lock-up period if the transferee agrees to these lock-up restrictions. We have also agreed, in the underwriting agreement, to similar lock-up restrictions on the issuance and sale of our securities for 90 days following the closing of this offering, although we will be permitted to issue stock options or stock awards to directors, officers and employees under our existing plans. The underwriter may, in their sole discretion and without notice, waive the terms of any of these lock-up agreements.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in certain circumstances, we have granted the representative a right of first refusal to act as lead bookrunner or placement agent in connection with any subsequent public or private offering of equity securities or other capital markets financing by us. This right of first refusal extends for nine months from the closing date of this offering. The terms of any such engagement of the representative will be determined by separate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21"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67" w:lineRule="exact"/>
        <w:rPr>
          <w:sz w:val="20"/>
          <w:szCs w:val="20"/>
          <w:color w:val="auto"/>
        </w:rPr>
      </w:pPr>
    </w:p>
    <w:p>
      <w:pPr>
        <w:ind w:left="1080" w:right="4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specific maximum.</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 also may engage in passive market making transactions in our common stock in accordance with Regulation M during a period before the commencement of offers or sales of shares of our common stock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material U.S. federal income considerations relating to the purchase, ownership and disposition of our common stock or Warrants. This discussion is based on current provisions of the Code, existing and proposed U.S. Treasury Regulations promulgated or proposed thereunder and current administrative and judicial interpretations thereof, all as in effect as of the date of this prospectus and all of which are subject to change or to differing interpretation, possibly with retroactive effect. We have not sought and will not seek any rulings from the Internal Revenue Service, or the IRS, regarding the matters discussed below. There can be no assurance that the IRS or a court will not take a contrary position.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limited to U.S. holders and non-U.S. holders who hold our common stock or Warrants as capital assets within the meaning of Section 1221 of the Code (generally, as property held for investment). This discussion does not address all aspects of U.S. federal income taxation, such as the U.S. alternative minimum income tax and the additional tax on net investment income, nor does it address any aspect of state, local or non-U.S. taxes, or U.S. federal taxes other than income taxes, such as federal estate taxes. This discussion does not consider any specific facts or circumstances that may apply to a holder and does not address the special tax considerations that may be applicable to particular holders, such as:</w:t>
      </w:r>
    </w:p>
    <w:p>
      <w:pPr>
        <w:spacing w:after="0" w:line="89"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our common stock or Warrants as compensation for services;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or Warrants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treated as disregarded entities for U.S. federal income tax purposes (regardless of their places of organization or formation) and their investors;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treated as partnerships for U.S. federal income tax purposes and their investors.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any entity taxable as a partnership for U.S. federal income tax purposes holds our common stock or Warrants, the U.S. federal income tax treatment of a partner in the partnership generally will depend on the status of the partner, the activities of the partnership and certain determinations made at the partner level. An investor in a partnership or entity treated as disregarded for U.S. federal income tax purposes should consult his, her or its own tax advisor regarding the applicable tax consequences relating to the purchase, ownership and disposition of our common stock or Warrants.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our common stock or Warrants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of any political subdivision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is able to exercise primary supervision over the administration of the trust and one or more U.S. persons have authority to control all substantial decisions of the trust or (ii) the trust has a valid election to be treated as a U.S. person under applicable U.S. Treasury Regulations.</w:t>
      </w:r>
    </w:p>
    <w:p>
      <w:pPr>
        <w:spacing w:after="0" w:line="176"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common stock or Warrants that is, for U.S. federal income tax purposes, an individual, corporation, estate or trust that is not a U.S. holder.</w:t>
      </w:r>
    </w:p>
    <w:p>
      <w:pPr>
        <w:spacing w:after="0" w:line="266"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own tax advisors regarding the U.S. federal, state, local and non-U.S. income and other tax considerations of purchasing, holding and disposing of our common stock or Warrants.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of Units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the purchase of a Unit will be treated as the purchase of two components: a component consisting of one share of our common stock and a component consisting of one warrant to purchase 0.5 shares of our common stock. The purchase price for each Unit will be allocated between its components in proportion to the relative fair market value of each at the time the Unit is purchased by the holder. This allocation of the purchase price for each Unit will establish a holder’s initial tax basis for U.S. federal income tax purposes in the shares and warrants that compose each Unit.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U.S. holder generally will not recognize gain or loss on the exercise of a warrant and related receipt of shares of our common stock (unless cash is received in lieu of the issuance of a fractional share of our common stock). A U.S. holder’s initial tax basis in the shares of our common stock received upon the exercise of a warrant will be equal to the sum of (a) such U.S. holder’s tax basis in such warrant plus (b) the exercise price paid by such U.S. holder on the exercise of such warrant. A U.S. holder’s holding period for the shares of our common stock received upon the exercise of a warrant will begin on the day after the date that the warrant is exercised.</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certain limited circumstances, a U.S. holder may be permitted to undertake a cashless exercise of warrants into shares of our common stock. The U.S. federal income tax treatment of a cashless exercise of warrants into shares of common stock is unclear, and the tax consequences of a cashless exercise could differ from the consequences upon the exercise of a warrant described in the preceding paragraph. U.S. holders should consult their own tax advisors regarding the U.S. federal income tax consequences of a cashless exercise of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Warrants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 adjustment to the number of shares of our common stock that will be issued upon the exercise of a warrant, or an adjustment to the exercise price of a warrant, may be treated as a constructive distribution to a U.S. holder of the warrant or share depending on the circumstances of such adjustment (for example, if such adjustment is to compensate for a distribution of cash or other property to our shareholders). Adjustments to the exercise price of warrants made pursuant to a bona fide reasonable adjustment formula that has the effect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preventing dilution of the interest of the holders thereof generally should not be considered to result in a constructive distribution. Any such constructive distribution would be taxable whether or not there is an actual distribution of cash or other property. See the more detailed discussion of the rules applicable to distributions made by us under the heading “Distributions on Common Stock”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 of the Warrants without Exercise</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the lapse or expiration of a warrant, a U.S. holder will recognize a loss in an amount equal to such U.S. holder’s tax basis in the warrant. Any such loss generally will be a capital loss and will be long-term capital loss if the warrant is held for more than one year. Deductions for capital losses are subject to certain limitations.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we pay distributions of cash or property with respect to our common stock (including constructive distributions as described above under the heading “Certain Adjustments to the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holder’s tax basis in its shares of our common stock. Any remaining excess will be treated as capital gain, subject to the tax treatment described below under the heading “—Gain on Sale, Exchange or Other Taxable Disposition.”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sale or other taxable disposition of common shares or Warrants, a U.S. holder generally will recognize capital gain or loss in an amount equal to the difference between (a) the amount of cash plus the fair market value of any property received and (b) such U.S. holder’s tax basis in such common shares or Warrants sold or otherwise disposed of. Such gain or loss generally will be long-term capital gain or loss if, at the time of the sale or other disposition, the common shares or Warrants have been held by the U.S. holder for more than one year. Preferential tax rates may apply to long-term capital gain of a U.S. holder that is an individual, estate, or trust. Deductions for capital losses are subject to certain limitations.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pay distributions of cash or property with respect to our common stock (including constructive distributions as described above under the heading “Certain Adjustments to the Warrants”),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its shares of our common stock. Any remaining excess will be treated as capital gain, subject to the tax treatment described below under the heading “—Gain on Sale, Exchange or Other Taxable Disposition.” Dividends paid to a non-U.S. holder generally will be subject to withholding of U.S. federal income tax at a 30% rate or such lower rate as may be specified by an applicable income tax treaty between the United States and such holder’s country of residence. In the case of any constructive distribution, it is possible that this tax would be withheld from any amount owed to the non-U.S. holder, including, but not limited to, distributions of cash, common stock or sales proceeds subsequently paid or credited to that holder. If we are unable to determine, at the time of payment of a distribution, whether the distribution will constitute a dividend, we may nonetheless choose to withhold any U.S. federal income tax on the distribution as permitted by U.S. Treasury Regulations.</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Distributions that are treated as effectively connected with a trade or business conducted by a non-U.S. holder within the United States are generally not subject to the 30% withholding tax if the non-U.S. 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provides a properly executed IRS Form W-8ECI stating that the distributions are not subject to withholding because they are effectively connected with the non-U.S. holder’s conduct of a trade or business in the United States. If a non-U.S. holder is engaged in a trade or business in the United States and the distribution is effectively connected with the conduct of that trade or business, the distribution will generally have the consequences described above for a U.S. holder (subject to any modification provided under an applicable income tax treaty). Any U.S. effectively connected income received by a non-U.S. holder that is treated as a corporation for U.S. federal income tax purposes may also, under certain circumstances, be subject to an additional “branch profits tax” at a 30% rate (or such lower rate as may be specified by an applicable income tax treaty).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non-U.S. holder who claims the benefit of an applicable income tax treaty between the United States and such holder’s country of residence generally will be required to provide a properly executed IRS Form W-8BEN or W-8BEN-E, as applicable, and satisfy applicable certification and other requirements. A non-U.S. holder that is eligible for a reduced rate of U.S. withholding tax under an income tax treaty generally may obtain a refund or credit of any excess amounts withheld by timely filing an appropriate claim with the IRS. Non-U.S. holders should consult their own tax advisors regarding their entitlement to benefits under a relevant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in “—Information Reporting and Backup Withholding” and “—Foreign Account Tax Compliance Act,” a non-U.S. holder generally will not be subject to U.S. federal income tax on gain recognized on a sale, exchange or other taxable disposition of our common stock or Warrants unless:</w:t>
      </w:r>
    </w:p>
    <w:p>
      <w:pPr>
        <w:spacing w:after="0" w:line="81" w:lineRule="exact"/>
        <w:rPr>
          <w:sz w:val="20"/>
          <w:szCs w:val="20"/>
          <w:color w:val="auto"/>
        </w:rPr>
      </w:pPr>
    </w:p>
    <w:p>
      <w:pPr>
        <w:ind w:left="108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maintained by the non-U.S. holder in the United States; in these cases, the non-U.S. holder will be taxed on a net income basis at the regular graduated rates and in the manner applicable to a U.S. holder, and, if the non-U.S. holder is a corporation, an additional branch profits tax at a rate of 30%, or a lower rate as may be specified by an applicable income tax treaty, may also apply;</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the disposition and certain other conditions are met, in which case the non-U.S. holder will be subject to a 30% tax (or such lower rate as may be specified by an applicable income tax treaty) on the amount by which such non-U.S. holder’s capital gains allocable to U.S. sources exceed capital losses allocable to U.S. sources during the taxable year of the disposition; or</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were a “U.S. real property holding corporation” during the shorter of the five-year period ending on the date of the disposition or the period that the non-U.S. holder held our common stock. Generally, a corporation is a “U.S. real property holding corporation” if the fair market value of its “U.S. real property interests” (within the meaning of the Code) equals or exceeds 50% of the sum of the fair market value of its worldwide real property interests plus its other assets used or held for use in a trade or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Distributions on, and the payment of the proceeds of a disposition of, our common stock or Warrants generally will be subject to information reporting if made within the United States or through certain U.S.-related financial intermediaries. Information returns are required to be filed with the IRS and copies of information returns may be made available to the tax authorities of the country in which a holder resides or is incorporated under the provisions of a specific treaty or agreement.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may also apply if the holder fails to provide certification of exempt status or a correct U.S. taxpayer identification number and otherwise comply with the applicable backup withholding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Generally, a holder will not be subject to backup withholding if it provides a properly completed and executed IRS Form W-9 or appropriate IRS Form W-8, as applicable. Backup withholding is not an additional tax. Amounts withheld under the backup withholding rules may be refunded or credited against the holder’s U.S. federal income tax liability, if any, provided certain information is timely filed with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U.S. federal withholding tax of 30% on dividends paid to certain non-U.S. entities (including certain intermediaries) unless such persons comply with FATCA’s information reporting and withholding regime. We will not pay any additional amounts to stockholders in respect of any amounts withheld. This regime and its requirements are different from, and in addition to, the certification requirements described elsewhere in this discussion. If a payment is both subject to withholding under FATCA and subject to withholding tax discussed above, the withholding under FATCA may be credited against, and therefore reduce, such other withholding tax.</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has entered into, and continues to negotiate, intergovernmental agreements, or IGAs, with a number of other jurisdictions to facilitate the implementation of FATCA. An IGA may significantly alter the application of FATCA and its information reporting and withholding requirements with respect to any particular investor. FATCA is particularly complex and its application remains uncertain. Prospective investors should consult their own tax advisors regarding how these rules may apply in their particular circumstances.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Honigman LLP, Kalamazoo, Michigan, will issue a legal opinion as to the validity of the securities offered by this prospectus. Ellenoff Grossman &amp; Schole LLP, New York, New York is acting as counsel for the underwriter in connection with certain legal matters in connection with this offering.</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2019 and 2018 and for the years then ended included in this Prospectus and in the Registration Statement have been so included in reliance on the report of BDO USA, LLP, an independent registered public accounting firm, given on the authority of said firm as experts in auditing and accounting, appearing elsewhere herein. The report on the consolidated financial statements contains an explanatory paragraph regarding the Company’s ability to continue as a going concern.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1054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Audited Consolidated Financial Statements</w:t>
            </w:r>
          </w:p>
        </w:tc>
        <w:tc>
          <w:tcPr>
            <w:tcW w:w="70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r>
      <w:tr>
        <w:trPr>
          <w:trHeight w:val="218"/>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Consolidated Balance Sheets as of December 31, 2019 and 2018</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Consolidated Statements of Operations and Comprehensive Loss for the years ended December 31, 2019 and 2018</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Consolidated Statements of Stockholders’ Equity for the years ended December 31, 2019 and 2018</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Consolidated Statements of Cash Flows for the years ended December 31, 2019 And 2018</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20" w:type="dxa"/>
            <w:vAlign w:val="bottom"/>
          </w:tcPr>
          <w:p>
            <w:pPr>
              <w:spacing w:after="0"/>
              <w:rPr>
                <w:sz w:val="20"/>
                <w:szCs w:val="20"/>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Notes to the Consolidated Financial Statements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83"/>
        </w:trPr>
        <w:tc>
          <w:tcPr>
            <w:tcW w:w="120" w:type="dxa"/>
            <w:vAlign w:val="bottom"/>
          </w:tcPr>
          <w:p>
            <w:pPr>
              <w:spacing w:after="0"/>
              <w:rPr>
                <w:sz w:val="24"/>
                <w:szCs w:val="24"/>
                <w:color w:val="auto"/>
              </w:rPr>
            </w:pPr>
          </w:p>
        </w:tc>
        <w:tc>
          <w:tcPr>
            <w:tcW w:w="3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9"/>
              </w:rPr>
              <w:t>Unaudited Interim Financial Statements</w:t>
            </w:r>
          </w:p>
        </w:tc>
        <w:tc>
          <w:tcPr>
            <w:tcW w:w="732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r>
      <w:tr>
        <w:trPr>
          <w:trHeight w:val="218"/>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Condensed Consolidated Balance Sheets as of September 30, 2020 (Unaudited) and December 31, 2019</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F-36</w:t>
            </w:r>
          </w:p>
        </w:tc>
      </w:tr>
      <w:tr>
        <w:trPr>
          <w:trHeight w:val="194"/>
        </w:trPr>
        <w:tc>
          <w:tcPr>
            <w:tcW w:w="120" w:type="dxa"/>
            <w:vAlign w:val="bottom"/>
          </w:tcPr>
          <w:p>
            <w:pPr>
              <w:spacing w:after="0"/>
              <w:rPr>
                <w:sz w:val="16"/>
                <w:szCs w:val="16"/>
                <w:color w:val="auto"/>
              </w:rPr>
            </w:pPr>
          </w:p>
        </w:tc>
        <w:tc>
          <w:tcPr>
            <w:tcW w:w="1024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169">
              <w:r>
                <w:rPr>
                  <w:rFonts w:ascii="Times New Roman" w:cs="Times New Roman" w:eastAsia="Times New Roman" w:hAnsi="Times New Roman"/>
                  <w:sz w:val="18"/>
                  <w:szCs w:val="18"/>
                  <w:color w:val="0000EE"/>
                  <w:w w:val="99"/>
                </w:rPr>
                <w:t>Condensed Consolidated Statements of Operations and Comprehensive Loss for the Nine Months Ended September 30, 2020 (Unaudited) and</w:t>
              </w:r>
            </w:hyperlink>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69">
              <w:r>
                <w:rPr>
                  <w:rFonts w:ascii="Times New Roman" w:cs="Times New Roman" w:eastAsia="Times New Roman" w:hAnsi="Times New Roman"/>
                  <w:sz w:val="18"/>
                  <w:szCs w:val="18"/>
                  <w:color w:val="0000EE"/>
                  <w:w w:val="98"/>
                </w:rPr>
                <w:t>2019 (Unaudited)</w:t>
              </w:r>
            </w:hyperlink>
          </w:p>
        </w:tc>
        <w:tc>
          <w:tcPr>
            <w:tcW w:w="896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F-37</w:t>
            </w:r>
          </w:p>
        </w:tc>
      </w:tr>
      <w:tr>
        <w:trPr>
          <w:trHeight w:val="218"/>
        </w:trPr>
        <w:tc>
          <w:tcPr>
            <w:tcW w:w="120" w:type="dxa"/>
            <w:vAlign w:val="bottom"/>
          </w:tcPr>
          <w:p>
            <w:pPr>
              <w:spacing w:after="0"/>
              <w:rPr>
                <w:sz w:val="18"/>
                <w:szCs w:val="18"/>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Condensed Consolidated Statements of Cash Flows for the Nine Months Ended September 30, 2020 (Unaudited) and 2019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F-39</w:t>
            </w:r>
          </w:p>
        </w:tc>
      </w:tr>
      <w:tr>
        <w:trPr>
          <w:trHeight w:val="234"/>
        </w:trPr>
        <w:tc>
          <w:tcPr>
            <w:tcW w:w="120" w:type="dxa"/>
            <w:vAlign w:val="bottom"/>
          </w:tcPr>
          <w:p>
            <w:pPr>
              <w:spacing w:after="0"/>
              <w:rPr>
                <w:sz w:val="20"/>
                <w:szCs w:val="20"/>
                <w:color w:val="auto"/>
              </w:rPr>
            </w:pPr>
          </w:p>
        </w:tc>
        <w:tc>
          <w:tcPr>
            <w:tcW w:w="10420" w:type="dxa"/>
            <w:vAlign w:val="bottom"/>
            <w:gridSpan w:val="6"/>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Notes to the Condensed Consolidated Financial Statements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r>
      <w:tr>
        <w:trPr>
          <w:trHeight w:val="36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color w:val="auto"/>
                <w:w w:val="95"/>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Helius Medical Technologies,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Newtown, Pennsylvania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Helius Medical Technologies, Inc. (the “Company”) as of December 31, 2019 and 2018,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substantial net losses since its inception, has an accumulated deficit of $104.8 million as of December 31, 2019 and the Company expects to incur further net losses in the development of its business. These conditions raise substantial doubt about its ability to continue as a going concern. Management’s plans concerning these matters are also described in Note 1. The consolidated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12, 2020, except for the “2020 Reverse Stock Split” paragraph of Note 1, as to which the date is January 19, 2021.</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for share data,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87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ind w:left="39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25,583</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net of reserve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26,961</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27,827</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2,392</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13,769</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17,973</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7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 as of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2019 and December 31, 2018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7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 877,672 and 737,938 shares issued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2019 and December 31, 2018,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111,509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105,436</w:t>
            </w: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(104,773)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(94,992)</w:t>
            </w:r>
          </w:p>
        </w:tc>
      </w:tr>
      <w:tr>
        <w:trPr>
          <w:trHeight w:val="230"/>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9,854</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10,347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27,827</w:t>
            </w:r>
          </w:p>
        </w:tc>
      </w:tr>
      <w:tr>
        <w:trPr>
          <w:trHeight w:val="20"/>
        </w:trPr>
        <w:tc>
          <w:tcPr>
            <w:tcW w:w="8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thousands except shares and per share data)</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sales,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Fee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17,214</w:t>
            </w:r>
          </w:p>
        </w:tc>
        <w:tc>
          <w:tcPr>
            <w:tcW w:w="0" w:type="dxa"/>
            <w:vAlign w:val="bottom"/>
          </w:tcPr>
          <w:p>
            <w:pPr>
              <w:spacing w:after="0"/>
              <w:rPr>
                <w:sz w:val="1"/>
                <w:szCs w:val="1"/>
                <w:color w:val="auto"/>
              </w:rPr>
            </w:pP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24,646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(23,996)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(26,675)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financial instruments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(28,623)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(10,092)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(29,261)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(12.99)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(43.97)</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9"/>
              </w:rPr>
              <w:t>752,932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5"/>
              </w:rPr>
              <w:t>651,034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9"/>
              </w:rPr>
              <w:t>752,932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5"/>
              </w:rPr>
              <w:t>651,034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shares data, amounts in thousands)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4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20" w:type="dxa"/>
            <w:vAlign w:val="bottom"/>
          </w:tcPr>
          <w:p>
            <w:pPr>
              <w:spacing w:after="0"/>
              <w:rPr>
                <w:sz w:val="5"/>
                <w:szCs w:val="5"/>
                <w:color w:val="auto"/>
              </w:rPr>
            </w:pPr>
          </w:p>
        </w:tc>
        <w:tc>
          <w:tcPr>
            <w:tcW w:w="14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$0.001 par value</w:t>
            </w:r>
          </w:p>
        </w:tc>
        <w:tc>
          <w:tcPr>
            <w:tcW w:w="160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no par value</w:t>
            </w: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40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0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2017</w:t>
            </w:r>
          </w:p>
        </w:tc>
        <w:tc>
          <w:tcPr>
            <w:tcW w:w="540" w:type="dxa"/>
            <w:vAlign w:val="bottom"/>
            <w:tcBorders>
              <w:top w:val="single" w:sz="8" w:color="auto"/>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576,520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$ 52,230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6,602</w:t>
            </w:r>
          </w:p>
        </w:tc>
        <w:tc>
          <w:tcPr>
            <w:tcW w:w="2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(66,369)</w:t>
            </w:r>
          </w:p>
        </w:tc>
        <w:tc>
          <w:tcPr>
            <w:tcW w:w="2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0"/>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47</w:t>
            </w:r>
          </w:p>
        </w:tc>
        <w:tc>
          <w:tcPr>
            <w:tcW w:w="2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8"/>
              </w:rPr>
              <w:t>$ (7,490)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Proceeds from the issuance of common stock and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accompanying warrants from April 2018 Offering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70,376</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18,400</w:t>
            </w: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18,400</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Fair value of liability-classified warrants issued in connection</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with April 2018 Offering</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(7,372)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(7,372)</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 issuance costs – April 2018 Offering</w:t>
            </w:r>
          </w:p>
        </w:tc>
        <w:tc>
          <w:tcPr>
            <w:tcW w:w="660" w:type="dxa"/>
            <w:vAlign w:val="bottom"/>
            <w:gridSpan w:val="2"/>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(1,273)</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(1,273)</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the exercise of stock options and warrants</w:t>
            </w:r>
          </w:p>
        </w:tc>
        <w:tc>
          <w:tcPr>
            <w:tcW w:w="660" w:type="dxa"/>
            <w:vAlign w:val="bottom"/>
            <w:gridSpan w:val="2"/>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21,033</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4,637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4,637</w:t>
            </w: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Stock-based compensation expense – prior to change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corporate domicile</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1,047</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1,047</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Reclassification of liability-classified warrants upon exercise</w:t>
            </w:r>
          </w:p>
        </w:tc>
        <w:tc>
          <w:tcPr>
            <w:tcW w:w="660" w:type="dxa"/>
            <w:vAlign w:val="bottom"/>
            <w:gridSpan w:val="2"/>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3,748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3,748</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Settlement of vested restricted stock units, net of taxes</w:t>
            </w:r>
          </w:p>
        </w:tc>
        <w:tc>
          <w:tcPr>
            <w:tcW w:w="660" w:type="dxa"/>
            <w:vAlign w:val="bottom"/>
            <w:gridSpan w:val="2"/>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spacing w:after="0"/>
              <w:rPr>
                <w:sz w:val="14"/>
                <w:szCs w:val="14"/>
                <w:color w:val="auto"/>
              </w:rPr>
            </w:pPr>
          </w:p>
        </w:tc>
        <w:tc>
          <w:tcPr>
            <w:tcW w:w="72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exercised compensation options and</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warrants from additional paid-in capital</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110</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(110)</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April 2016 compensation options and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warrants from additional paid-in capital to derivative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financial instruments due to change in functional currency</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(1,586)</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(1,586)</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USD denominated warrants from</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derivative financial instruments to additional paid-in capital</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due to change in functional currency</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2,478</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2,478</w:t>
            </w: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equity-classified stock options to 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based compensation liability due to change in functional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currency</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(4,182)</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(4,182)</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Reclassification from other current liabilities due to exercise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of stock options</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non-employee options recorded as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derivative financial instruments due to modification 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1,206</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1,206</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stock-based compensation due to</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modification of options</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10,338</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10,338</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Reclassification upon change in corporate domicile</w:t>
            </w:r>
          </w:p>
        </w:tc>
        <w:tc>
          <w:tcPr>
            <w:tcW w:w="6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667,949</w:t>
            </w:r>
          </w:p>
        </w:tc>
        <w:tc>
          <w:tcPr>
            <w:tcW w:w="82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7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(667,949)</w:t>
            </w:r>
          </w:p>
        </w:tc>
        <w:tc>
          <w:tcPr>
            <w:tcW w:w="840" w:type="dxa"/>
            <w:vAlign w:val="bottom"/>
            <w:gridSpan w:val="3"/>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(70,512)</w:t>
            </w:r>
          </w:p>
        </w:tc>
        <w:tc>
          <w:tcPr>
            <w:tcW w:w="1020" w:type="dxa"/>
            <w:vAlign w:val="bottom"/>
            <w:gridSpan w:val="3"/>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70,511</w:t>
            </w:r>
          </w:p>
        </w:tc>
        <w:tc>
          <w:tcPr>
            <w:tcW w:w="10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Proceeds from issuance of common stock in connection with</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November 2018 Offering</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69,696</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20,126</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20,126</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660" w:type="dxa"/>
            <w:vAlign w:val="bottom"/>
            <w:gridSpan w:val="2"/>
          </w:tcPr>
          <w:p>
            <w:pPr>
              <w:ind w:left="300"/>
              <w:spacing w:after="0" w:line="162" w:lineRule="exact"/>
              <w:rPr>
                <w:sz w:val="20"/>
                <w:szCs w:val="20"/>
                <w:color w:val="auto"/>
              </w:rPr>
            </w:pPr>
            <w:r>
              <w:rPr>
                <w:rFonts w:ascii="Times New Roman" w:cs="Times New Roman" w:eastAsia="Times New Roman" w:hAnsi="Times New Roman"/>
                <w:sz w:val="15"/>
                <w:szCs w:val="15"/>
                <w:color w:val="auto"/>
              </w:rPr>
              <w:t>293</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106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 issuance costs – November 2018 Offering</w:t>
            </w:r>
          </w:p>
        </w:tc>
        <w:tc>
          <w:tcPr>
            <w:tcW w:w="660" w:type="dxa"/>
            <w:vAlign w:val="bottom"/>
            <w:gridSpan w:val="2"/>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(1,867)</w:t>
            </w:r>
          </w:p>
        </w:tc>
        <w:tc>
          <w:tcPr>
            <w:tcW w:w="106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(1,867)</w:t>
            </w:r>
          </w:p>
        </w:tc>
        <w:tc>
          <w:tcPr>
            <w:tcW w:w="0" w:type="dxa"/>
            <w:vAlign w:val="bottom"/>
          </w:tcPr>
          <w:p>
            <w:pPr>
              <w:spacing w:after="0"/>
              <w:rPr>
                <w:sz w:val="1"/>
                <w:szCs w:val="1"/>
                <w:color w:val="auto"/>
              </w:rPr>
            </w:pPr>
          </w:p>
        </w:tc>
      </w:tr>
      <w:tr>
        <w:trPr>
          <w:trHeight w:val="145"/>
        </w:trPr>
        <w:tc>
          <w:tcPr>
            <w:tcW w:w="40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Stock-based compensation expense – after change in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corporate domicile</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849</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849</w:t>
            </w:r>
          </w:p>
        </w:tc>
        <w:tc>
          <w:tcPr>
            <w:tcW w:w="0" w:type="dxa"/>
            <w:vAlign w:val="bottom"/>
          </w:tcPr>
          <w:p>
            <w:pPr>
              <w:spacing w:after="0"/>
              <w:rPr>
                <w:sz w:val="1"/>
                <w:szCs w:val="1"/>
                <w:color w:val="auto"/>
              </w:rPr>
            </w:pPr>
          </w:p>
        </w:tc>
      </w:tr>
      <w:tr>
        <w:trPr>
          <w:trHeight w:val="162"/>
        </w:trPr>
        <w:tc>
          <w:tcPr>
            <w:tcW w:w="4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660" w:type="dxa"/>
            <w:vAlign w:val="bottom"/>
            <w:gridSpan w:val="2"/>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(28,623)</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(28,623)</w:t>
            </w:r>
          </w:p>
        </w:tc>
        <w:tc>
          <w:tcPr>
            <w:tcW w:w="0" w:type="dxa"/>
            <w:vAlign w:val="bottom"/>
          </w:tcPr>
          <w:p>
            <w:pPr>
              <w:spacing w:after="0"/>
              <w:rPr>
                <w:sz w:val="1"/>
                <w:szCs w:val="1"/>
                <w:color w:val="auto"/>
              </w:rPr>
            </w:pPr>
          </w:p>
        </w:tc>
      </w:tr>
      <w:tr>
        <w:trPr>
          <w:trHeight w:val="162"/>
        </w:trPr>
        <w:tc>
          <w:tcPr>
            <w:tcW w:w="4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adjustments</w:t>
            </w:r>
          </w:p>
        </w:tc>
        <w:tc>
          <w:tcPr>
            <w:tcW w:w="5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6"/>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(638)</w:t>
            </w:r>
          </w:p>
        </w:tc>
        <w:tc>
          <w:tcPr>
            <w:tcW w:w="6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(638)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12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34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$0.001 par value</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no par value</w:t>
            </w:r>
          </w:p>
        </w:tc>
        <w:tc>
          <w:tcPr>
            <w:tcW w:w="2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auto"/>
            </w:tcBorders>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8"/>
                <w:szCs w:val="8"/>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4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2018</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737,938</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top w:val="single" w:sz="8" w:color="auto"/>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9"/>
              </w:rPr>
              <w:t>$ 105,436</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(94,992)</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tcBorders>
            <w:shd w:val="clear" w:color="auto" w:fill="CCEEFF"/>
          </w:tcPr>
          <w:p>
            <w:pPr>
              <w:jc w:val="center"/>
              <w:ind w:left="365"/>
              <w:spacing w:after="0" w:line="156" w:lineRule="exact"/>
              <w:rPr>
                <w:sz w:val="20"/>
                <w:szCs w:val="20"/>
                <w:color w:val="auto"/>
              </w:rPr>
            </w:pPr>
            <w:r>
              <w:rPr>
                <w:rFonts w:ascii="Times New Roman" w:cs="Times New Roman" w:eastAsia="Times New Roman" w:hAnsi="Times New Roman"/>
                <w:sz w:val="15"/>
                <w:szCs w:val="15"/>
                <w:b w:val="1"/>
                <w:bCs w:val="1"/>
                <w:color w:val="auto"/>
                <w:w w:val="86"/>
              </w:rPr>
              <w:t>(591)</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$ 9,854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3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Proceeds from the issuance of common stock from November 2019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Offering</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137,571</w:t>
            </w:r>
          </w:p>
        </w:tc>
        <w:tc>
          <w:tcPr>
            <w:tcW w:w="220" w:type="dxa"/>
            <w:vAlign w:val="bottom"/>
          </w:tcPr>
          <w:p>
            <w:pPr>
              <w:spacing w:after="0"/>
              <w:rPr>
                <w:sz w:val="15"/>
                <w:szCs w:val="15"/>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1,685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left="165"/>
              <w:spacing w:after="0"/>
              <w:rPr>
                <w:sz w:val="20"/>
                <w:szCs w:val="20"/>
                <w:color w:val="auto"/>
              </w:rPr>
            </w:pPr>
            <w:r>
              <w:rPr>
                <w:rFonts w:ascii="Times New Roman" w:cs="Times New Roman" w:eastAsia="Times New Roman" w:hAnsi="Times New Roman"/>
                <w:sz w:val="15"/>
                <w:szCs w:val="15"/>
                <w:color w:val="auto"/>
                <w:w w:val="93"/>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1,685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 issuance costs – November 2019 Offering</w:t>
            </w:r>
          </w:p>
        </w:tc>
        <w:tc>
          <w:tcPr>
            <w:tcW w:w="780" w:type="dxa"/>
            <w:vAlign w:val="bottom"/>
            <w:gridSpan w:val="3"/>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720" w:type="dxa"/>
            <w:vAlign w:val="bottom"/>
            <w:gridSpan w:val="3"/>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(553)</w:t>
            </w:r>
          </w:p>
        </w:tc>
        <w:tc>
          <w:tcPr>
            <w:tcW w:w="0" w:type="dxa"/>
            <w:vAlign w:val="bottom"/>
          </w:tcPr>
          <w:p>
            <w:pPr>
              <w:spacing w:after="0"/>
              <w:rPr>
                <w:sz w:val="1"/>
                <w:szCs w:val="1"/>
                <w:color w:val="auto"/>
              </w:rPr>
            </w:pPr>
          </w:p>
        </w:tc>
      </w:tr>
      <w:tr>
        <w:trPr>
          <w:trHeight w:val="162"/>
        </w:trPr>
        <w:tc>
          <w:tcPr>
            <w:tcW w:w="4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 and warrants</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2,136</w:t>
            </w:r>
          </w:p>
        </w:tc>
        <w:tc>
          <w:tcPr>
            <w:tcW w:w="220" w:type="dxa"/>
            <w:vAlign w:val="bottom"/>
          </w:tcPr>
          <w:p>
            <w:pPr>
              <w:spacing w:after="0"/>
              <w:rPr>
                <w:sz w:val="14"/>
                <w:szCs w:val="14"/>
                <w:color w:val="auto"/>
              </w:rPr>
            </w:pPr>
          </w:p>
        </w:tc>
        <w:tc>
          <w:tcPr>
            <w:tcW w:w="42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left="165"/>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72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Settlement of vested restricted stock units, net of taxes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3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Reclassification of derivative financial instruments from exercise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of warrants</w:t>
            </w: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left="165"/>
              <w:spacing w:after="0"/>
              <w:rPr>
                <w:sz w:val="20"/>
                <w:szCs w:val="20"/>
                <w:color w:val="auto"/>
              </w:rPr>
            </w:pPr>
            <w:r>
              <w:rPr>
                <w:rFonts w:ascii="Times New Roman" w:cs="Times New Roman" w:eastAsia="Times New Roman" w:hAnsi="Times New Roman"/>
                <w:sz w:val="15"/>
                <w:szCs w:val="15"/>
                <w:color w:val="auto"/>
                <w:w w:val="93"/>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gridSpan w:val="3"/>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4,691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720" w:type="dxa"/>
            <w:vAlign w:val="bottom"/>
            <w:gridSpan w:val="3"/>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4,691</w:t>
            </w:r>
          </w:p>
        </w:tc>
        <w:tc>
          <w:tcPr>
            <w:tcW w:w="0" w:type="dxa"/>
            <w:vAlign w:val="bottom"/>
          </w:tcPr>
          <w:p>
            <w:pPr>
              <w:spacing w:after="0"/>
              <w:rPr>
                <w:sz w:val="1"/>
                <w:szCs w:val="1"/>
                <w:color w:val="auto"/>
              </w:rPr>
            </w:pPr>
          </w:p>
        </w:tc>
      </w:tr>
      <w:tr>
        <w:trPr>
          <w:trHeight w:val="162"/>
        </w:trPr>
        <w:tc>
          <w:tcPr>
            <w:tcW w:w="4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adjustments</w:t>
            </w:r>
          </w:p>
        </w:tc>
        <w:tc>
          <w:tcPr>
            <w:tcW w:w="780" w:type="dxa"/>
            <w:vAlign w:val="bottom"/>
            <w:gridSpan w:val="3"/>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8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(311)</w:t>
            </w:r>
          </w:p>
        </w:tc>
        <w:tc>
          <w:tcPr>
            <w:tcW w:w="72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(311)</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780" w:type="dxa"/>
            <w:vAlign w:val="bottom"/>
            <w:gridSpan w:val="3"/>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(9,781)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65"/>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720" w:type="dxa"/>
            <w:vAlign w:val="bottom"/>
            <w:gridSpan w:val="3"/>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(9,781)</w:t>
            </w:r>
          </w:p>
        </w:tc>
        <w:tc>
          <w:tcPr>
            <w:tcW w:w="0" w:type="dxa"/>
            <w:vAlign w:val="bottom"/>
          </w:tcPr>
          <w:p>
            <w:pPr>
              <w:spacing w:after="0"/>
              <w:rPr>
                <w:sz w:val="1"/>
                <w:szCs w:val="1"/>
                <w:color w:val="auto"/>
              </w:rPr>
            </w:pPr>
          </w:p>
        </w:tc>
      </w:tr>
      <w:tr>
        <w:trPr>
          <w:trHeight w:val="169"/>
        </w:trPr>
        <w:tc>
          <w:tcPr>
            <w:tcW w:w="434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December 31, 2019</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877,672</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16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320" w:type="dxa"/>
            <w:vAlign w:val="bottom"/>
            <w:tcBorders>
              <w:top w:val="single" w:sz="8" w:color="auto"/>
              <w:bottom w:val="single" w:sz="8" w:color="auto"/>
            </w:tcBorders>
          </w:tcPr>
          <w:p>
            <w:pPr>
              <w:ind w:left="80"/>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$ 111,509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(104,773</w:t>
            </w:r>
          </w:p>
        </w:tc>
        <w:tc>
          <w:tcPr>
            <w:tcW w:w="18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tcPr>
          <w:p>
            <w:pPr>
              <w:jc w:val="center"/>
              <w:ind w:left="365"/>
              <w:spacing w:after="0" w:line="169" w:lineRule="exact"/>
              <w:rPr>
                <w:sz w:val="20"/>
                <w:szCs w:val="20"/>
                <w:color w:val="auto"/>
              </w:rPr>
            </w:pPr>
            <w:r>
              <w:rPr>
                <w:rFonts w:ascii="Times New Roman" w:cs="Times New Roman" w:eastAsia="Times New Roman" w:hAnsi="Times New Roman"/>
                <w:sz w:val="15"/>
                <w:szCs w:val="15"/>
                <w:b w:val="1"/>
                <w:bCs w:val="1"/>
                <w:color w:val="auto"/>
                <w:w w:val="86"/>
              </w:rPr>
              <w:t>(902)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$ 5,835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(9,781)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(28,623)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financial instruments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4,691</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 payable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(20,999)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(19,621)</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issuances of common stock and warrants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38,526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 and warrants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40,028</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rate changes on cash</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(20,124)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20,021</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year</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25,583</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5,459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25,583</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cash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 included in 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derivative instruments from warrant exercise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 related to Heuro acquisition</w:t>
            </w:r>
          </w:p>
        </w:tc>
        <w:tc>
          <w:tcPr>
            <w:tcW w:w="1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Helius Medical Technologies, Inc. (the “Company”), is neurotech company focused on neurological wellness. The Company’s purpose is to develop, license and acquire unique and non-invasive technologies targeted at reducing symptoms of neurological disease or trauma.</w:t>
      </w:r>
    </w:p>
    <w:p>
      <w:pPr>
        <w:spacing w:after="0" w:line="162"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Company’s first product, known as the Portable Neuromodulation Stimulator (“PoNS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is an active, therapeutic, class II medical device authorized for sale in Canada intended as a short term treatment (14 weeks) of chronic balance deficit due to mild-to-moderate traumatic brain injury (“mmTBI”) and is to be used in conjunction with therapeutic activities (“PoNS Treatment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It is an investigational medical device in the United States, the European Union (“EU”), and Australia (“AUS”), and it is currently under review for clearance by the AUS Therapeutic Goods Administration. PoNS Treatment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not currently commercially available in the United States, the European Union or Australia.</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December 21, 2018, the Company’s wholly owned subsidiary, NeuroHabilitation Corporation, changed its name to Helius Medical, Inc (“HMI”). On January 31, 2019, the Company formed another wholly owned subsidiary, Helius NeuroRehab, Inc., (“HNR”), a Delaware corporation, which will operate a commercial site for the delivery of PoNS Treatment to patients with balance and gait disorders upon FDA clearance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 (see Note 2).</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wholly owned subsidiaries are comprised of HMI, HMC, HCA and HNR.</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w:t>
      </w:r>
    </w:p>
    <w:p>
      <w:pPr>
        <w:spacing w:after="0" w:line="18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Reverse Stock Split</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Effective after the close of business on January 22, 2018, the Company completed a 1-for-5 reverse stock split of its common stock. All share and per share amounts herein have been reflected on a post-split basis.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Reverse Stock Split</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Effective after the close of business on December 31, 2020, the Company completed a 1-for-35 reverse stock split of its common stock (“2020 Reverse Stock Split”). The 2020 Reverse Stock Split did not change the par value of the Company’s common stock or the number of common or preferred shares authorized by the Company’s Certificate of Incorporation. All share and per-share amounts have been retrospectively adjusted to reflect the 2020 Reverse Stock Split for all periods presented.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cash of $5.5 million. For the year ended December 31, 2019, the Company incurred a net loss of $9.8 million and, as of December 31, 2019, its accumulated deficit was $104.8 million. For the year ended December 31, 2019, the Company had $1.5 million of revenue from the commercial sale of products or services. The Company expects to continue to incur operating losses and net cash outflows until it generates a level of revenue to support its cost structure. There is no assurance that the Company will achieve profitable operations, and, if achieved, whether it will be sustained on a continued basis. These factors raise substantial doubt about the Company’s ability to continue as a going concern within one year after the date of the financial statements are filed. The Company’s consolidated financial statements have been prepared on the basis of continuity of operations, realization of assets and satisfaction of liabilities in the ordinary course of business.</w:t>
      </w:r>
    </w:p>
    <w:p>
      <w:pPr>
        <w:spacing w:after="0" w:line="18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324" w:lineRule="exact"/>
        <w:rPr>
          <w:sz w:val="20"/>
          <w:szCs w:val="20"/>
          <w:color w:val="auto"/>
        </w:rPr>
      </w:pPr>
    </w:p>
    <w:p>
      <w:pPr>
        <w:ind w:left="120" w:right="7200" w:hanging="4"/>
        <w:spacing w:after="0" w:line="378" w:lineRule="auto"/>
        <w:tabs>
          <w:tab w:leader="none" w:pos="5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The Company’s reporting currency is the U.S. Dollar (“USD$”).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significant financing component associated with revenue, fair value-pricing model for stock-based compensation and derivative financial instruments. Financial statements include estimates, which, by their nature, are uncertain. Actual results could differ from those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determine when an entity that is insufficiently capitalized or not controlled through its voting interests, referred to as a variable interest entity should be consolidated (see Note 8). All intercompany balances and transactions have been eliminated. Certain prior period amounts have been reclassified to conform to current period presentation.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required allowance requires judgment by Company management. As of December 31, 2019, the Company’s accounts receivable of $0.4 million, is net of an allowance for doubtful accounts of $0.2 million and is the result of revenue from product sales. As of December 31, 2018, accounts receivable consisted primarily of amounts owed related to license revenue of approximately $0.5 million recognized in 2018 resulting from the Company’s arrangement with HTC and Heuro, of which $0.3 million was classified as a non-current receivable. As described below, the Company modified its arrangement with HTC on October 30, 2019.</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Other receivables included refunds from research and development (“R&amp;D”) tax credits of $0.2 million and Goods and Services Tax and Quebec Sales Tax refunds related to the Company’s Canadian expenditures of $0.1 million as of December 31, 2019. Other receivables included refunds from research and development (“R&amp;D”) tax credits of $0.1 million as of December 31, 2018.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$50 thousand were recorded during the year ended December 31, 2019.</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2019 and 2018, inventory consisted of the following (amounts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3"/>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4780" w:type="dxa"/>
            <w:vAlign w:val="bottom"/>
          </w:tcPr>
          <w:p>
            <w:pPr>
              <w:spacing w:after="0"/>
              <w:rPr>
                <w:sz w:val="15"/>
                <w:szCs w:val="15"/>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392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w w:val="96"/>
              </w:rPr>
              <w:t>392</w:t>
            </w:r>
          </w:p>
        </w:tc>
        <w:tc>
          <w:tcPr>
            <w:tcW w:w="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inventory, net of reserve</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w w:val="96"/>
              </w:rPr>
              <w:t>392</w:t>
            </w:r>
          </w:p>
        </w:tc>
        <w:tc>
          <w:tcPr>
            <w:tcW w:w="4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its leasehold improvements is over the shorter of its lease term or useful life of 5 years, the estimated useful life of furniture and fixtures is 7 years; equipment has an estimated useful life of 15 years and computer software and hardware has an estimated useful life of 3 to 5 years.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summarizes the Company’s property and equipment as of December 31, 2019 and 2018 (amounts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52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6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182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4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0"/>
        </w:trPr>
        <w:tc>
          <w:tcPr>
            <w:tcW w:w="4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Depreciation expense of $127 thousand and $59 thousand for the years ended December 31, 2019 and 2018, respectively. During 2019, the Company wrote-off $17 thousand of fully depreciated software.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 which the Company obtains control of a business are accounted for according to the acquisition method as described in FASB ASC 805</w:t>
      </w:r>
    </w:p>
    <w:p>
      <w:pPr>
        <w:spacing w:after="0" w:line="2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8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paid to HTC, which included (1) cash of CAD$0.5 million (USD$0.4 million), (2) delivery of 55 PoNS devices for which the fair value was determined to be CAD$0.5 million (USD$0.4 million), (3) the CAD$750 thousand (USD$0.6 million) receivable from the September 2018 strategic alliance agreement and (4) the sale of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operating results of Heuro have been included in the consolidated statement of operations and comprehensive loss since the date of the acquisition.</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acquisition related costs were $0.1 million and were accounted for as selling, general and administrative expenses in the consolidated statement of operations and comprehensive loss.</w:t>
      </w:r>
    </w:p>
    <w:p>
      <w:pPr>
        <w:spacing w:after="0" w:line="16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Supplemental proforma financial information has not been presented here because the proforma effects of this acquisition are not material to the Company’s reported results for any period presented.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recognized fair values of identifiable assets acquired and liabilities assumed as of October 30, 2019:</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3700" w:type="dxa"/>
            <w:vAlign w:val="bottom"/>
            <w:vMerge w:val="restart"/>
          </w:tcPr>
          <w:p>
            <w:pPr>
              <w:spacing w:after="0"/>
              <w:rPr>
                <w:sz w:val="13"/>
                <w:szCs w:val="13"/>
                <w:color w:val="auto"/>
              </w:rPr>
            </w:pPr>
          </w:p>
        </w:tc>
        <w:tc>
          <w:tcPr>
            <w:tcW w:w="22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30, 2019</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38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fair values assigned to identifiable intangible assets assumed were based on management’s current estimates and assumptions and is considered preliminary. The Company believes that the most recent information available provides a reasonable basis for assigning fair value, but anticipates receiving additional information, and as such, the provisional measurements of fair value are subject to change. The Company will finalize the amounts recognized as it obtains the information necessary to complete the analysis, but no later than one year from the acquisition date.</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Acquired intangibles consisted of customer relationships and proprietary technology. The remaining useful life at acquisition was 1.25 years and 5 years, respectively, and the acquired intangibles are amortized using the straight-line method.</w:t>
      </w:r>
    </w:p>
    <w:p>
      <w:pPr>
        <w:spacing w:after="0" w:line="162"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Factors considered by the Company in determination of goodwill include synergies, strategic fit and other benefits that do not meet the recognition criteria of acquired identifiable intangible assets. The recognized goodwill of $1.2 million is not expected to be deductible for tax purposes.</w:t>
      </w:r>
    </w:p>
    <w:p>
      <w:pPr>
        <w:spacing w:after="0" w:line="14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fair value of the 55 PoNS devices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consolidated balance sheet.</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connection with the SPA, on October 30, 2019, the Company entered into a Clinical Research and Co-Promotion Agreement with HTC (the “Co-Promotion Agreement”), whereby each company will promote the sales of the PoNS Treatment and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 year term.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values underlying net assets acquired in an acquisition. All of the Company’s goodwill as of December 31, 2019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80"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Definite-lived intangibles consist principally of acquired customer relationships and proprietary software as well as internally developed software. All are amortized straight-line over their estimated useful lives.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as of December 31, 2019 consist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0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years</w:t>
            </w:r>
          </w:p>
        </w:tc>
        <w:tc>
          <w:tcPr>
            <w:tcW w:w="7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proprietary software</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5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92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Amortization expense related to the intangible assets was $64 thousand for the year ended December 31, 2019.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 is anticipated to be as follows in future years: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vMerge w:val="restart"/>
          </w:tcPr>
          <w:p>
            <w:pPr>
              <w:spacing w:after="0"/>
              <w:rPr>
                <w:sz w:val="21"/>
                <w:szCs w:val="21"/>
                <w:color w:val="auto"/>
              </w:rPr>
            </w:pPr>
          </w:p>
        </w:tc>
        <w:tc>
          <w:tcPr>
            <w:tcW w:w="2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2020</w:t>
            </w:r>
          </w:p>
        </w:tc>
        <w:tc>
          <w:tcPr>
            <w:tcW w:w="1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582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Software Costs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Company follows ASC 350-40, Accounting for the Costs of Computer Software Developed or Obtained for Internal Use, in accounting for its internally developed software costs. Costs incurred during the preliminary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project work stage or conceptual stage, such as determining the performance requirements, system requirements and data conversion, are expensed as incurred. Costs incurred in the application development phase, such as coding, testing for new software and upgrades that result in additional functionality, are capitalized and are amortized using the straight-line method over the useful life of the software, which was determined to be three years. Amortization of these capitalized costs commences when the software becomes ready for its intended use. Costs incurred during the post-implementation stage, such as maintenance and application training, are expensed as incurred.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 xml:space="preserve">On January 1, 2019, the Company adopted ASU No.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The Company’s condensed consolidated balance sheets for reporting periods beginning on or after January 1, 2019 are presented under the new guidance, while prior period amounts were not adjusted and continue to be reported in accordance with previous guidance.</w:t>
      </w:r>
    </w:p>
    <w:p>
      <w:pPr>
        <w:spacing w:after="0" w:line="17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does not record an operating lease ROU asset and corresponding lease liability for leases with an expected term of twelve months or less and recognizes lease expense for these leases as incurred over the lease term. As of December 31, 2019, the Company had only one operating lease, which was for its headquarters office in Newtown, Pennsylvania upon the adoption date. As of December 31, 2019,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As of December 31, 2019, approximately $0.1 million of the Company’s operating lease ROU asset had been amortized (see Note 7).</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Prior to April 1, 2018, the Company’s functional currency was the Canadian dollar (“CAD$”). Translation gains and losses from the application of the USD$ as the reporting currency during the period that the Canadian dollar was the functional currency were included as part of cumulative currency translation adjustment, which is reported as a component of stockholders’ equity (deficit) as accumulated other comprehensive income (loss).</w:t>
      </w:r>
    </w:p>
    <w:p>
      <w:pPr>
        <w:spacing w:after="0" w:line="15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re-assessed its functional currency and determined that, as of April 1, 2018, its functional currency had changed from the CAD$ to the USD$ based on management’s analysis of changes in the primary economic environment in which the Company operates. The change in functional currency was accounted for prospectively from April 1, 2018 and financial statements prior to and including the period ended March 31, 2018 were not restated for the change in functional currency.</w:t>
      </w:r>
    </w:p>
    <w:p>
      <w:pPr>
        <w:spacing w:after="0" w:line="18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For periods commencing April 1, 2018,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consolidated statement of operations and comprehensive loss as foreign exchange gain (loss).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consolidated statements of operations and comprehensive loss for the reporting period, but rather are accumulated and gains and losses are recorded in foreign exchange gain (loss), as a component of comprehensive loss, within the consolidated statements of operations and comprehensive loss.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Company accounts for all stock-based payments and awards under the fair value-based method. The Company recognizes its stock-based compensation expense using the straight-line method.</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accounts for the granting of stock options to employees and non-employees using the fair value method whereby all awards are measured at fair value on the date of the grant. The fair value of all employee stock options is expensed over the requisite service period with a corresponding increase to additional paid-in capital. Upon exercise of stock options, the consideration paid by the option holder is recorded in additional paid-in capital, while the par value of the shares received is reclassified from additional paid in capital to common stock. Stock options granted to employees are accounted for as liabilities when they contain conditions or other features that are indexed to other than a market, performance or service conditions.</w:t>
      </w:r>
    </w:p>
    <w:p>
      <w:pPr>
        <w:spacing w:after="0" w:line="18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Prior to the adoption of ASU No. 2018-07, </w:t>
      </w:r>
      <w:r>
        <w:rPr>
          <w:rFonts w:ascii="Times New Roman" w:cs="Times New Roman" w:eastAsia="Times New Roman" w:hAnsi="Times New Roman"/>
          <w:sz w:val="18"/>
          <w:szCs w:val="18"/>
          <w:i w:val="1"/>
          <w:iCs w:val="1"/>
          <w:color w:val="auto"/>
        </w:rPr>
        <w:t>Improvements to Nonemployee Share-Based Payment Accounting (“ASU 2018-07”)</w:t>
      </w:r>
      <w:r>
        <w:rPr>
          <w:rFonts w:ascii="Times New Roman" w:cs="Times New Roman" w:eastAsia="Times New Roman" w:hAnsi="Times New Roman"/>
          <w:sz w:val="18"/>
          <w:szCs w:val="18"/>
          <w:color w:val="auto"/>
        </w:rPr>
        <w:t xml:space="preserve"> during the third quarter of 2018, stock-based payments to non-employees were measured at the fair value of the consideration received, or the fair value of the equity instruments issued, or liabilities incurred, whichever was more reliably measurable, and the fair value of stock-based payments to non-employees was re-measured at the end of each reporting period until the counterparty performance was completed, with any change therein recognized over the vesting period of the award and in the same manner as if the Company had paid cash instead of paying with or using equity-based instruments. The fair value of the stock-based payments to non-employees that were fully vested and non-forfeitable as of the grant date was measured and recognized at that date. Following the adoption of ASU 2018-07, stock-based payments to non-employees are now being measured based on the fair value of the equity instrument issued and compensation expense for non-employee stock awards is recognized over the requisite service period following the measurement of the fair value on the grant date over the vesting period of the award.</w:t>
      </w:r>
    </w:p>
    <w:p>
      <w:pPr>
        <w:spacing w:after="0" w:line="19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Awards of options that provide for an exercise price that is not denominated in: (a) the currency of a market in which a substantial portion of the Company’s equity securities trades in, (b) the currency in which the employee’s pay is denominated, or (c) the Company’s functional currency, are required to be classified as liabilities. The change in the Company’s functional currency, effective April 1, 2018 resulted in the reclassification of outstanding stock options that were previously denominated in CAD$ from equity- to liability-classified options (see Note 4). Liability classified options are re-measured to their fair values at the end of each reporting date with changes in the fair value recognized in stock-based compensation expense or additional paid-in capital until settlement or cancellation. Under FASB’s ASC 718 – Compensation – Stock Compensation, when an award is reclassified from equity to liability, if at the reclassification date the original vesting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are expected to be satisfied, then the minimum amount of compensation cost to be recognized is based on the grant date fair value of the original award. Fair value changes below this minimum amount are recorded in additional paid-in capital. In June 2018, the Company’s Board of Directors approved subject to the consent of the holders of such options the modification of outstanding stock options with exercise prices denominated in CAD$ to convert the exercise prices of such options to USD$ based on the prevailing USD$/CAD$ exchange rates on the dates of the grants for such modified stock options. During the third quarter of 2018, employee and non-employee option holders owning stock options representing an aggregate of 78,318 shares of common stock consented to the modification. Employee stock options with a fair value of $10.3 million on August 8, 2018, which were previously classified as stock-based compensation liability, were reclassified to equity during the third quarter of 2018. Following these reclassifications, the Company no longer has any liability-classified stock options (see Note 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 xml:space="preserve">In accordance with FASB’s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(“ASC 606”), the Company recognizes revenue when its customer obtains control of promised goods or services, in an amount that reflects the consideration which the Company expects to be entitled in exchange for those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72" w:lineRule="exact"/>
        <w:rPr>
          <w:sz w:val="20"/>
          <w:szCs w:val="20"/>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Prior to the fourth quarter of 2018, the Company had not generated revenue. During the fourth quarter of 2018, as part of its exclusive strategic alliance agreement, the Company transferred a license to Heuro in order for it to develop the clinic systems to facilitate the commercialization of the PoNS Treatment in Canada. The license was a functional license as it had stand-alone functionality. As such, the Company recognized revenue once control transferred, which occurred in the fourth quarter of 2018 when regulatory approval of the PoNS device in Canada was obtained and the commercialization of the product, as defined within the agreement, began. The agreement provided to pay the Company CAD$750 thousand in three annual payments of CAD$250 thousand beginning December 31, 2019, in consideration for the exclusivity right the Company granted to Heuro. The Company considered this to be a significant financing component and as such, the amount reflected in its consolidated statements of operations and comprehensive loss was discounted. The discount rate utilized to measure revenue and the related receivable was determined based on the rate that would be reflected in a separate financing transaction with the customer. During the fourth quarter of 2018, the Company recognized revenues of $0.5 million in license fees when it satisfied its performance obligation. As described above, the Company</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modified its arrangement with HTC on October 30, 2019. License revenue will be recognized ratably over the ten year term as the performance obligation is met in connection with the Co-Promotion Agreement. During the fourth quarter of 2019, the Company recognized revenues of $5 thousand in license fees associated with the Co-Promotion Agreement. Revenue not yet recognized of $0.3 million is recorded as deferred revenue on the consolidated balance sheet.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During the first half of 2019, product sales were derived from the sale of the PoNS device and certain support services including services from the use of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the Company’s arrangement with HTC and Heuro, the Company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the Company recorded $1.5 million in product sales net of $11 thousand for HTC’s portion related to assessments using the NeuroCatch device. As described above, the Company modified its arrangement with HTC on October 30, 2019. As of December 31, 2019, the control of the 55 PoNS devices included as consideration in the Heuro acquisition had not been transferred resulting in the fair value of the devices being recorded as deferred revenue of $0.4 million on the consolidated balance sheet. Revenue will be recognized for these devices as control is transferred. The only returns during 2019 were the result of warranty returns for defective products. These returns were insignificant during the year and any future replacements are expected to be immaterial.</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Fee Revenue</w:t>
      </w:r>
    </w:p>
    <w:p>
      <w:pPr>
        <w:spacing w:after="0" w:line="119"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first half of 2019, the Company’s agreement with HTC and Heuro also entitled the Company to 50% of the franchise fees collected by Heuro from each franchise agreement Heuro executed with neuroplasticity clinics engaged in providing the PoNS Treatment. For the year ended December 31, 2019, the Company recognized $37 thousand as its 50% portion of the franchise fees. There were 3 franchise agreements entered into for the year ended December 31, 2019, all of which occurred in the first half of the year.</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of December 31, 2019, the Company had recorded $0.2 million in current receivables, net and had no contract assets or liabilities on its consolidated balance sheets related to the supply agreements with each clinic. As of December 31, 2019, the Company did not have any receivables on its consolidated balance sheets related to license revenue pursuant to the Company’s arrangement with HTC and Heuro due to the modification of its arrangement with HTC on October 30, 2019. As of December 31, 2018, the Company has recorded $0.2 million and $0.3 million in current and non-current receivables, respectively, and had no contract assets or liabilities on its consolidated balance sheets related to license revenue pursuant to the Company’s arrangement with HTC and Heuro.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regarding accounting for uncertainty in income taxes. The Company initially recognizes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consolidated statements of operations and comprehensive loss. When applicable, the Company classifies penalties and interest associated with uncertain tax positions as a component of income tax expense in its consolidated statements of operations and comprehensive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consolidated financial statements in the aggregate in one reportable segment.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December 31, 2019 and 2018, the Company’s derivative financial instruments were comprised of warrants issued in connection with both public and/or private securities offerings. During the third quarter of 2018, the non-employee stock options were reclassified to equity following the modification of these stock options. Upon settlement of a derivative financial instrument, the instrument is re-measured at the settlement date and the fair value of the underlying instrument is reclassified to equity (see Note 4).</w:t>
      </w:r>
    </w:p>
    <w:p>
      <w:pPr>
        <w:spacing w:after="0" w:line="17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classification of derivative financial instruments, including whether such instruments should be recorded as liabilities/assets or as equity, is reassessed at the end of each reporting period. Derivative financial instruments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that become subject to reclassification are reclassified at the fair value of the instrument on the reclassification date. Derivative financial instruments will be classified in the consolidated balance sheet as current if the right to exercise or settle the derivative financial instrument lies with the holder.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financial instruments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or financial instruments for which all significant inputs are observable, either directly or indirectly; and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recorded in its consolidated balance sheets consist primarily of cash, receivables, accounts payable, accrued liabilities, and derivative financial instruments. The book values of these instruments, with the exception of derivative financial instruments and non-current receivables, approximate their fair values due to the immediate or short-term nature of these instruments.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Company’s derivative financial instruments are classified as Level 3 within the fair value hierarchy and required to be recorded at fair value on a recurring basis. Unobservable inputs used in the valuation of these financial instruments include volatility of the underlying share price and the expected term. See Note 3 for the inputs used in the Black-Scholes option-pricing model as of December 31, 2019 and 2018 and the roll forward of the derivative financial instruments. The Company’s derivative financial instruments are comprised of warrants which are classified as liabilities.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derivative financial instruments and stock-based compensation liability within the fair value hierarchy as of December 31, 2019 and 2018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52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5"/>
                <w:szCs w:val="15"/>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receivable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13,769</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13,769</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any of the levels during the years ended December 31, 2019 and 2018.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Income (Loss) per Share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basic and diluted loss per share for the periods noted below is as follows (amounts in thousands, except for share and per share amounts):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(9,781)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(28,623)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 basic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752,932</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651,034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9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have been excluded from the computation of diluted weighted shares outstanding for the periods noted below, as they would have been anti-dilutive due to the Company’s losses for the years ended December 31, 2019 and 2018 and because the exercise price of certain of these outstanding securities were greater than the average closing price of the Company’s common stock.</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94,475</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w:t>
            </w:r>
          </w:p>
        </w:tc>
        <w:tc>
          <w:tcPr>
            <w:tcW w:w="7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86,958</w:t>
            </w:r>
          </w:p>
        </w:tc>
        <w:tc>
          <w:tcPr>
            <w:tcW w:w="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114,406</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186,764</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208,908</w:t>
            </w:r>
          </w:p>
        </w:tc>
        <w:tc>
          <w:tcPr>
            <w:tcW w:w="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requires measurement and recognition of expected credit losses for financial assets held and requires enhanced disclosures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estimates and judgments used in estimating credit losses. In November 2019, the FASB issued ASU 2019-10,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Derivatives and Hedging (Topic 815) and Leases (Topic 842): Effective Dates</w:t>
      </w:r>
      <w:r>
        <w:rPr>
          <w:rFonts w:ascii="Times New Roman" w:cs="Times New Roman" w:eastAsia="Times New Roman" w:hAnsi="Times New Roman"/>
          <w:sz w:val="18"/>
          <w:szCs w:val="18"/>
          <w:color w:val="auto"/>
        </w:rPr>
        <w:t>, which amends the effective date of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business entities that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which adds disclosure requirements to Topic 820 for the range and weighted average of significant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develop Level 3 fair value measurements. This ASU is effective for interim and annual reporting periods beginning after December 15, 2019. The Company will adopt the standard as of January 1, 2020 and anticipates an increase in Level 3 fair value disclosures within the footnotes to the consolidated financial statements.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In November 2018, FASB issued ASU 2018-18, C</w:t>
      </w:r>
      <w:r>
        <w:rPr>
          <w:rFonts w:ascii="Times New Roman" w:cs="Times New Roman" w:eastAsia="Times New Roman" w:hAnsi="Times New Roman"/>
          <w:sz w:val="18"/>
          <w:szCs w:val="18"/>
          <w:i w:val="1"/>
          <w:iCs w:val="1"/>
          <w:color w:val="auto"/>
        </w:rPr>
        <w:t>ollaborative Arrangements (Topic 808): Clarifying the Interaction Between Topic 808 and Topic 606,</w:t>
      </w:r>
      <w:r>
        <w:rPr>
          <w:rFonts w:ascii="Times New Roman" w:cs="Times New Roman" w:eastAsia="Times New Roman" w:hAnsi="Times New Roman"/>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will adopt the standard as of January 1, 2020. In conjunction with the acquisition of Heuro on October 30, 2019, the Company entered into a co-promotion agreement with HTC which meets the definition of a collaborative agreement. Certain components of the co-promotion agreement fall under the scope of ASC 606 and will be accounted for accordingly.</w:t>
      </w:r>
    </w:p>
    <w:p>
      <w:pPr>
        <w:spacing w:after="0" w:line="329"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WARRANTS</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On June 28, 2018, at the Company’s 2018 Annual Meeting of Shareholders, the Company’s shareholders approved the Company’s reincorporation from the state of Wyoming to the state of Delaware. On July 20, 2018, the Company completed its reincorporation from Wyoming to the state of Delaware.</w:t>
      </w:r>
    </w:p>
    <w:p>
      <w:pPr>
        <w:spacing w:after="0" w:line="14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a result, following the Company’s reincorporation, 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 dividends have been declared since inception of the Company through December 31, 2019.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April 18, 2016, the Company closed its short form prospectus offering in Canada and a concurrent U.S. private placement (the “April 2016 Offering”) of units (the “Units”) with gross proceeds to the Company of $7.2 million through the issuance of Units at a price of CAD$175.00 per Unit. Each Unit consists of one share of common stock in the capital of the Company (a “Common Share’) and one-half of one Common Share purchase warrant (each whole warrant, a “Warrant”). Each Warrant entitled the holder thereof to acquire one additional Common Share at an exercise price of CAD$262.50 on or before April 18, 2019. Mackie Research Capital Corporation (the “Agent”) acted as agent and sole bookrunner in connection with the April 2016 Offering. The Company paid the Agent a cash commission of $0.3 million and granted to the Agent compensation options exercisable to purchase 2,491 Units at an exercise price of CAD$175.00 per Unit for a period of 24 months from the closing of the April 2016 Offering. The Company incurred other cash issuance costs of $1.1 million related to this offering. During the year ended December 31, 2019, 1,096 warrants were exercised. On April 18, 2019, 26,352 warrants were cancelled due to their expiration.</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May 2, 2016, the Company closed the sale of the additional units issued pursuant to the exercise of the over-allotment option granted to the Agent in connection with the April 2016 Offering. The April 2016 Offering was made pursuant to a short form prospectus filed with the securities regulatory authorities in each of the provinces of Canada, except Québec. Pursuant to the exercise of the over-allotment option, the Company issued an additional 6,229 units at a price of CAD$175.00 per unit for additional gross proceeds to the Company of $0.9 million, bringing the total aggregate gross proceeds to the Company under the Offering to $8.1 million. Each over-allotment unit consisted of one share of common stock in the capital of the Company and one-half of one Common Share purchase warrant. Each over-allotment warrant entitles the holder thereof to acquire one additional over-allotment Common Share at an exercise price of CAD$262.50 on or before April 18, 2019. In connection with the closing of the over-allotment option, the Company paid the Agent a cash commission of $0.1 million and granted to the Agent compensation options exercisable to purchase 373 over-allotment units at an exercise price of CAD$175.00 per unit for a period of 24 months from the over-allotment closing. As of December 31, 2018, all remaining outstanding compensation options had been cancelled due to their expiration.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the Company recorded a $0.1 million gain in change in fair value of derivative financial instruments due to the expiration of both the April 18, 2016 and May 2, 2016 compensations options.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proceeds from the April 2016 Offering were allocated on a relative fair value basis between the common stock and the warrants issued. The warrants issued in connection with the April 2016 Offering were classified within equity in the Company’s consolidated balance sheets. These warrants were recorded in additional paid-in capital in the Company’s consolidated balance sheets at their fair value. As discussed in Note 1, due to the change in the Company’s functional currency, as of April 1, 2018, these warrants were reclassified to liabilities as derivative financial instruments on the Company’s consolidated balance sheet as they are now priced in a currency other than the Company’s functional currency. This resulted in the Company recording a $4.7 million increase in derivative financial instruments and a $1.4 million reduction in additional paid-in capital on its consolidated balance sheet and a $3.3 million loss related to the change in fair value of derivative financial instruments on its consolidated statement of operations and comprehensive loss during the year ended December 31, 2018.</w:t>
      </w:r>
    </w:p>
    <w:p>
      <w:pPr>
        <w:spacing w:after="0" w:line="19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assumptions used in estimating the fair value of the warrants granted in the April 2016 Offering using the Black-Scholes option pricing model as of the grant date and as of April 1, 2018 and December 31, 2018:</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28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8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480" w:type="dxa"/>
            <w:vAlign w:val="bottom"/>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CAD$</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CAD$450.45</w:t>
            </w:r>
          </w:p>
        </w:tc>
        <w:tc>
          <w:tcPr>
            <w:tcW w:w="6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CAD$190.75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CAD$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620" w:type="dxa"/>
            <w:vAlign w:val="bottom"/>
          </w:tcPr>
          <w:p>
            <w:pPr>
              <w:spacing w:after="0"/>
              <w:rPr>
                <w:sz w:val="18"/>
                <w:szCs w:val="18"/>
                <w:color w:val="auto"/>
              </w:rPr>
            </w:pP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CAD$262.50</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CAD$262.50</w:t>
            </w: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term</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0.30</w:t>
            </w:r>
          </w:p>
        </w:tc>
        <w:tc>
          <w:tcPr>
            <w:tcW w:w="6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6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83.56%</w:t>
            </w:r>
          </w:p>
        </w:tc>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71.13%</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83.83%</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1.64%</w:t>
            </w:r>
          </w:p>
        </w:tc>
        <w:tc>
          <w:tcPr>
            <w:tcW w:w="2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1.60%</w:t>
            </w: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0.60%</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On February 16, 2017, the Company completed an underwritten registered public offering and issued an aggregate of 37,457 shares of common stock for gross proceeds of $9.2 million. The Company incurred cash issuance costs of $1.2 million in connection with this offering.</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 June 2017, the Company completed a non-brokered private placement of 22,857 shares of common stock for gross proceeds of $5.4 million. The Company incurred approximately $9 thousand in share issuance cost related to the private placement.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2017, the Company completed a three-tranche non-brokered private placement (the “December 2017 financing”) for an aggregate of 18,457 units for gross proceeds of approximately $6.3 million. Each unit consisted of one share of common stock and one share purchase warrant, and was sold at a price of $343.00 per unit. Each warrant entitles the holder to acquire one additional share of common stock and is exercisable over a period of 36 months following the respective closing of the December 2017 financing at an exercise price of $428.75 per warrant share. The first tranche, which closed on December 22, 2017, was for 7,740 units for which the Company received gross proceeds of approximately $2.6 million. The second tranche, which closed on December 28, 2017, was for 4,886 units for which the Company received approximately $1.7 million, while the third tranche, which closed on December 29, 2017, was for 5,830 units for which the Company received $2.0 million. The Company paid $0.1 million in share issuance costs related to the December 2017 financing.</w:t>
      </w:r>
    </w:p>
    <w:p>
      <w:pPr>
        <w:spacing w:after="0" w:line="192"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As a result of the change in the Company’s functional currency, these warrants have been reclassified from liabilities as derivative financial instruments to additional paid-in capital in the Company’s consolidated balance sheet. As of April 1, 2018, $2.5 million, was reclassified from derivative financial instruments to additional paid-in capital, representing the fair value of warrants having USD$ exercise prices. There was no impact to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Company’s consolidated statement of operations and comprehensive loss as a result of this reclassification as the fair value of these warrants on April 1, 2018, was the same as of March 31, 2018, the most recent date that the fair value of these warrants was re-measured.</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assumptions used in estimating the fair value of the warrants granted in the December 2017 financing using the Black-Scholes option pricing model as of the grant dates and on April 1, 2018.</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5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April 1, 2018</w:t>
            </w: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29, 2017</w:t>
            </w:r>
          </w:p>
        </w:tc>
        <w:tc>
          <w:tcPr>
            <w:tcW w:w="400" w:type="dxa"/>
            <w:vAlign w:val="bottom"/>
          </w:tcPr>
          <w:p>
            <w:pPr>
              <w:spacing w:after="0"/>
              <w:rPr>
                <w:sz w:val="15"/>
                <w:szCs w:val="15"/>
                <w:color w:val="auto"/>
              </w:rPr>
            </w:pPr>
          </w:p>
        </w:tc>
        <w:tc>
          <w:tcPr>
            <w:tcW w:w="19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28, 2017</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22, 2017</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431.20</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w:t>
            </w:r>
          </w:p>
        </w:tc>
        <w:tc>
          <w:tcPr>
            <w:tcW w:w="8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428.75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428.75</w:t>
            </w:r>
          </w:p>
        </w:tc>
        <w:tc>
          <w:tcPr>
            <w:tcW w:w="7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428.75</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428.75</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2.7 years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 years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3.0 years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65.40%</w:t>
            </w: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60.24%</w:t>
            </w: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60.24%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2.39%</w:t>
            </w:r>
          </w:p>
        </w:tc>
        <w:tc>
          <w:tcPr>
            <w:tcW w:w="19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1.98%</w:t>
            </w:r>
          </w:p>
        </w:tc>
        <w:tc>
          <w:tcPr>
            <w:tcW w:w="19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0.00%</w:t>
            </w: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0.00%</w:t>
            </w: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0.00%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 April 13, 2018, the Company issued 61,197 shares of its common stock and warrants to purchase 61,197 shares of the Company’s common stock in an underwritten public offering at a price of $261.45 per share and accompanying warrant. Gross proceeds from the offering were approximately $16.0 million. On April 24, 2018, the Company closed on the sale of an additional 9,179 shares of its common stock and warrants pursuant to the exercise of the over-allotment option (collectively the “April 2018 offering”) granted to the underwriters in connection with the offering at a price of $261.45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consolidated statement of operations and comprehensive loss. The fair value of these warrants at issuance was approximately $7.4 million.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Each warrant issued in connection with the April 2018 offering entitles the holder to acquire one additional share of common stock at an exercise price of CAD$428.75 per share on or before April 10, 2021. Pursuant to the guidance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option-pricing model, with the remainder of the proceeds allocated to the common shares. As of December 31, 2019, 2,025 warrants had been exercised, all during 2018, for gross proceeds of CAD$0.9 million.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as well as of December 31, 2019.</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28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80" w:type="dxa"/>
            <w:vAlign w:val="bottom"/>
          </w:tcPr>
          <w:p>
            <w:pPr>
              <w:spacing w:after="0"/>
              <w:rPr>
                <w:sz w:val="15"/>
                <w:szCs w:val="15"/>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24, 2018</w:t>
            </w: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13, 2018</w:t>
            </w:r>
          </w:p>
        </w:tc>
      </w:tr>
      <w:tr>
        <w:trPr>
          <w:trHeight w:val="191"/>
        </w:trPr>
        <w:tc>
          <w:tcPr>
            <w:tcW w:w="26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Stock price</w:t>
            </w:r>
          </w:p>
        </w:tc>
        <w:tc>
          <w:tcPr>
            <w:tcW w:w="1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CAD</w:t>
            </w:r>
          </w:p>
        </w:tc>
        <w:tc>
          <w:tcPr>
            <w:tcW w:w="6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4"/>
              </w:rPr>
              <w:t>CAD</w:t>
            </w: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4"/>
        </w:trPr>
        <w:tc>
          <w:tcPr>
            <w:tcW w:w="26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60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CAD $376.60</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344.75</w:t>
            </w:r>
          </w:p>
        </w:tc>
        <w:tc>
          <w:tcPr>
            <w:tcW w:w="200" w:type="dxa"/>
            <w:vAlign w:val="bottom"/>
            <w:shd w:val="clear" w:color="auto" w:fill="CCEEFF"/>
          </w:tcPr>
          <w:p>
            <w:pPr>
              <w:spacing w:after="0"/>
              <w:rPr>
                <w:sz w:val="20"/>
                <w:szCs w:val="20"/>
                <w:color w:val="auto"/>
              </w:rPr>
            </w:pP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price</w:t>
            </w:r>
          </w:p>
        </w:tc>
        <w:tc>
          <w:tcPr>
            <w:tcW w:w="1620" w:type="dxa"/>
            <w:vAlign w:val="bottom"/>
            <w:gridSpan w:val="2"/>
          </w:tcPr>
          <w:p>
            <w:pPr>
              <w:ind w:left="1100"/>
              <w:spacing w:after="0" w:line="198" w:lineRule="exact"/>
              <w:rPr>
                <w:sz w:val="20"/>
                <w:szCs w:val="20"/>
                <w:color w:val="auto"/>
              </w:rPr>
            </w:pPr>
            <w:r>
              <w:rPr>
                <w:rFonts w:ascii="Times New Roman" w:cs="Times New Roman" w:eastAsia="Times New Roman" w:hAnsi="Times New Roman"/>
                <w:sz w:val="18"/>
                <w:szCs w:val="18"/>
                <w:color w:val="auto"/>
              </w:rPr>
              <w:t>CAD</w:t>
            </w: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w w:val="94"/>
              </w:rPr>
              <w:t>CAD</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660" w:type="dxa"/>
            <w:vAlign w:val="bottom"/>
          </w:tcPr>
          <w:p>
            <w:pPr>
              <w:spacing w:after="0"/>
              <w:rPr>
                <w:sz w:val="20"/>
                <w:szCs w:val="20"/>
                <w:color w:val="auto"/>
              </w:rPr>
            </w:pPr>
          </w:p>
        </w:tc>
        <w:tc>
          <w:tcPr>
            <w:tcW w:w="16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600" w:type="dxa"/>
            <w:vAlign w:val="bottom"/>
          </w:tcPr>
          <w:p>
            <w:pPr>
              <w:spacing w:after="0"/>
              <w:rPr>
                <w:sz w:val="20"/>
                <w:szCs w:val="20"/>
                <w:color w:val="auto"/>
              </w:rPr>
            </w:pPr>
          </w:p>
        </w:tc>
        <w:tc>
          <w:tcPr>
            <w:tcW w:w="21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CAD $428.75</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428.75</w:t>
            </w:r>
          </w:p>
        </w:tc>
        <w:tc>
          <w:tcPr>
            <w:tcW w:w="200" w:type="dxa"/>
            <w:vAlign w:val="bottom"/>
          </w:tcPr>
          <w:p>
            <w:pPr>
              <w:spacing w:after="0"/>
              <w:rPr>
                <w:sz w:val="20"/>
                <w:szCs w:val="20"/>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term</w:t>
            </w: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1.28</w:t>
            </w:r>
          </w:p>
        </w:tc>
        <w:tc>
          <w:tcPr>
            <w:tcW w:w="6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3.00</w:t>
            </w: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72.43%</w:t>
            </w:r>
          </w:p>
        </w:tc>
        <w:tc>
          <w:tcPr>
            <w:tcW w:w="2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64.49%</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1.72%</w:t>
            </w:r>
          </w:p>
        </w:tc>
        <w:tc>
          <w:tcPr>
            <w:tcW w:w="21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19, 2018, the Company issued 60,606 shares of its common stock in an underwritten public offering at a price of $288.75 per share. Gross proceeds from the offering were $17.5 million. On November 2018, the Company closed on the sale of an additional 9,090 shares of its common stock pursuant to the exercise of the over-allotment option (collectively the “November 2018 offering”) granted to the underwriters in connection with the offering at a price of $288.75 per share. Gross proceeds from the exercise of the over-allotment option was $2.6 million. BTIG LLC and Oppenheimer &amp; Co acted as joint book-running managers for the November 2018 offering. The Company paid approximately $1.2 million in underwriting discounts and commissions and incurred offering expenses of approximately $0.7 million, of which $0.1 million was accrued as of December 31, 2018, resulting in net proceeds of $18.3 million.</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November 22, 2019, the Company issued 137,571 shares of its common stock in an underwritten public offering at a price of $12.25 per share. Gross proceeds from the offering (the “November 2019 Offering”) were approximately $1.7 million. HC Wainwright acted as book-running manager for the November 2019 Offering. The Company paid approximately $0.1 million in underwriting discounts and commissions and incurred offering expenses of approximately $0.5 million, resulting in net proceeds of $1.1 million, in connection with the November 2019 Offering.</w:t>
      </w:r>
    </w:p>
    <w:p>
      <w:pPr>
        <w:spacing w:after="0" w:line="180" w:lineRule="exact"/>
        <w:rPr>
          <w:sz w:val="20"/>
          <w:szCs w:val="20"/>
          <w:color w:val="auto"/>
        </w:rPr>
      </w:pPr>
    </w:p>
    <w:p>
      <w:pPr>
        <w:jc w:val="both"/>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activities of warrants that the Company accounts for as liabilities and records as derivative financial instruments for the years ended December 31, 2019 and 2018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at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7,372</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previously classified equity warrants</w:t>
            </w:r>
          </w:p>
        </w:tc>
        <w:tc>
          <w:tcPr>
            <w:tcW w:w="12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5,049</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previously classified liability warrants reclassified to additional paid-in capital</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(2,478)</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12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6"/>
              </w:rPr>
              <w:t>384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during the year</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(14,113)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2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These warrants, which are classified as derivative financial instruments in the Company’s consolidated balance sheets are required to be re-measured at each reporting period, with the change in fair value recorded as a gain or loss in the change of fair value of derivative financial instruments, included in other income (expense) in the Company’s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all warrants classified as derivative financial instruments outstanding as of December 31, 2019 and 2018 were estimated using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Black-Scholes option-pricing model with the following weighted average assumptions: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r>
      <w:tr>
        <w:trPr>
          <w:trHeight w:val="191"/>
        </w:trPr>
        <w:tc>
          <w:tcPr>
            <w:tcW w:w="50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Stock price</w:t>
            </w:r>
          </w:p>
        </w:tc>
        <w:tc>
          <w:tcPr>
            <w:tcW w:w="4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CAD</w:t>
            </w:r>
          </w:p>
        </w:tc>
        <w:tc>
          <w:tcPr>
            <w:tcW w:w="5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4"/>
        </w:trPr>
        <w:tc>
          <w:tcPr>
            <w:tcW w:w="5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43.05</w:t>
            </w:r>
          </w:p>
        </w:tc>
        <w:tc>
          <w:tcPr>
            <w:tcW w:w="1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CAD$448.00</w:t>
            </w: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price</w:t>
            </w:r>
          </w:p>
        </w:tc>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CAD</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04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w w:val="96"/>
              </w:rPr>
              <w:t>428.75</w:t>
            </w:r>
          </w:p>
        </w:tc>
        <w:tc>
          <w:tcPr>
            <w:tcW w:w="1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CAD$381.15</w:t>
            </w:r>
          </w:p>
        </w:tc>
      </w:tr>
      <w:tr>
        <w:trPr>
          <w:trHeight w:val="198"/>
        </w:trPr>
        <w:tc>
          <w:tcPr>
            <w:tcW w:w="5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term</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8"/>
              <w:spacing w:after="0" w:line="198" w:lineRule="exact"/>
              <w:rPr>
                <w:sz w:val="20"/>
                <w:szCs w:val="20"/>
                <w:color w:val="auto"/>
              </w:rPr>
            </w:pPr>
            <w:r>
              <w:rPr>
                <w:rFonts w:ascii="Times New Roman" w:cs="Times New Roman" w:eastAsia="Times New Roman" w:hAnsi="Times New Roman"/>
                <w:sz w:val="18"/>
                <w:szCs w:val="18"/>
                <w:color w:val="auto"/>
              </w:rPr>
              <w:t>1.28</w:t>
            </w:r>
          </w:p>
        </w:tc>
        <w:tc>
          <w:tcPr>
            <w:tcW w:w="1720" w:type="dxa"/>
            <w:vAlign w:val="bottom"/>
            <w:gridSpan w:val="3"/>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1.71</w:t>
            </w:r>
          </w:p>
        </w:tc>
      </w:tr>
      <w:tr>
        <w:trPr>
          <w:trHeight w:val="234"/>
        </w:trPr>
        <w:tc>
          <w:tcPr>
            <w:tcW w:w="5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years</w:t>
            </w:r>
          </w:p>
        </w:tc>
        <w:tc>
          <w:tcPr>
            <w:tcW w:w="5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0" w:type="dxa"/>
            <w:vAlign w:val="bottom"/>
          </w:tcPr>
          <w:p>
            <w:pPr>
              <w:spacing w:after="0"/>
              <w:rPr>
                <w:sz w:val="18"/>
                <w:szCs w:val="18"/>
                <w:color w:val="auto"/>
              </w:rPr>
            </w:pPr>
          </w:p>
        </w:tc>
        <w:tc>
          <w:tcPr>
            <w:tcW w:w="12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72.43%</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75.31%</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1.72%</w:t>
            </w:r>
          </w:p>
        </w:tc>
        <w:tc>
          <w:tcPr>
            <w:tcW w:w="1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00" w:type="dxa"/>
            <w:vAlign w:val="bottom"/>
          </w:tcPr>
          <w:p>
            <w:pPr>
              <w:spacing w:after="0"/>
              <w:rPr>
                <w:sz w:val="20"/>
                <w:szCs w:val="20"/>
                <w:color w:val="auto"/>
              </w:rPr>
            </w:pPr>
          </w:p>
        </w:tc>
        <w:tc>
          <w:tcPr>
            <w:tcW w:w="12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0.00%</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warrant activity during the years ended December 31, 2019 and 2018:</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8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 Warrants (by currency</w:t>
            </w:r>
          </w:p>
        </w:tc>
        <w:tc>
          <w:tcPr>
            <w:tcW w:w="260" w:type="dxa"/>
            <w:vAlign w:val="bottom"/>
          </w:tcPr>
          <w:p>
            <w:pPr>
              <w:spacing w:after="0"/>
              <w:rPr>
                <w:sz w:val="13"/>
                <w:szCs w:val="13"/>
                <w:color w:val="auto"/>
              </w:rPr>
            </w:pPr>
          </w:p>
        </w:tc>
        <w:tc>
          <w:tcPr>
            <w:tcW w:w="17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82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denomination of exercise price)</w:t>
            </w:r>
          </w:p>
        </w:tc>
        <w:tc>
          <w:tcPr>
            <w:tcW w:w="260" w:type="dxa"/>
            <w:vAlign w:val="bottom"/>
          </w:tcPr>
          <w:p>
            <w:pPr>
              <w:spacing w:after="0"/>
              <w:rPr>
                <w:sz w:val="15"/>
                <w:szCs w:val="15"/>
                <w:color w:val="auto"/>
              </w:rPr>
            </w:pPr>
          </w:p>
        </w:tc>
        <w:tc>
          <w:tcPr>
            <w:tcW w:w="17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560" w:type="dxa"/>
            <w:vAlign w:val="bottom"/>
            <w:tcBorders>
              <w:top w:val="single" w:sz="8" w:color="auto"/>
            </w:tcBorders>
            <w:gridSpan w:val="2"/>
          </w:tcPr>
          <w:p>
            <w:pPr>
              <w:jc w:val="right"/>
              <w:ind w:right="900"/>
              <w:spacing w:after="0" w:line="142" w:lineRule="exact"/>
              <w:rPr>
                <w:sz w:val="20"/>
                <w:szCs w:val="20"/>
                <w:color w:val="auto"/>
              </w:rPr>
            </w:pPr>
            <w:r>
              <w:rPr>
                <w:rFonts w:ascii="Times New Roman" w:cs="Times New Roman" w:eastAsia="Times New Roman" w:hAnsi="Times New Roman"/>
                <w:sz w:val="14"/>
                <w:szCs w:val="14"/>
                <w:b w:val="1"/>
                <w:bCs w:val="1"/>
                <w:color w:val="auto"/>
              </w:rPr>
              <w:t>CAD$</w:t>
            </w:r>
          </w:p>
        </w:tc>
        <w:tc>
          <w:tcPr>
            <w:tcW w:w="9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CAD$</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6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$258.30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$358.75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70,766</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427.70</w:t>
            </w:r>
          </w:p>
        </w:tc>
        <w:tc>
          <w:tcPr>
            <w:tcW w:w="26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(648)</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(3,901)</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175.00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(3,219)</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(15,874)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345.80</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95,799</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18,607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381.15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428.40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Cancelled/Expired</w:t>
            </w:r>
          </w:p>
        </w:tc>
        <w:tc>
          <w:tcPr>
            <w:tcW w:w="15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(26,352)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262.50</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(1,096)</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262.50</w:t>
            </w:r>
          </w:p>
        </w:tc>
        <w:tc>
          <w:tcPr>
            <w:tcW w:w="26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as of December 31, 2019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68,351</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18,607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428.75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Company’s warrants outstanding and exercisable as of December 31, 2019:</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 Outstanding</w:t>
            </w:r>
          </w:p>
        </w:tc>
        <w:tc>
          <w:tcPr>
            <w:tcW w:w="1040" w:type="dxa"/>
            <w:vAlign w:val="bottom"/>
          </w:tcPr>
          <w:p>
            <w:pPr>
              <w:spacing w:after="0"/>
              <w:rPr>
                <w:sz w:val="16"/>
                <w:szCs w:val="16"/>
                <w:color w:val="auto"/>
              </w:rPr>
            </w:pPr>
          </w:p>
        </w:tc>
        <w:tc>
          <w:tcPr>
            <w:tcW w:w="35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104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US$376.25</w:t>
            </w:r>
          </w:p>
        </w:tc>
        <w:tc>
          <w:tcPr>
            <w:tcW w:w="10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June 26,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spacing w:after="0"/>
              <w:rPr>
                <w:sz w:val="18"/>
                <w:szCs w:val="18"/>
                <w:color w:val="auto"/>
              </w:rPr>
            </w:pPr>
          </w:p>
        </w:tc>
        <w:tc>
          <w:tcPr>
            <w:tcW w:w="35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8"/>
              </w:rPr>
              <w:t>US$376.25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17, 2020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10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8"/>
                <w:szCs w:val="18"/>
                <w:color w:val="auto"/>
                <w:w w:val="98"/>
              </w:rPr>
              <w:t>US$428.75</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22,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40" w:type="dxa"/>
            <w:vAlign w:val="bottom"/>
          </w:tcPr>
          <w:p>
            <w:pPr>
              <w:spacing w:after="0"/>
              <w:rPr>
                <w:sz w:val="18"/>
                <w:szCs w:val="18"/>
                <w:color w:val="auto"/>
              </w:rPr>
            </w:pPr>
          </w:p>
        </w:tc>
        <w:tc>
          <w:tcPr>
            <w:tcW w:w="35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8"/>
              </w:rPr>
              <w:t>US$428.75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4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8"/>
                <w:szCs w:val="18"/>
                <w:color w:val="auto"/>
                <w:w w:val="98"/>
              </w:rPr>
              <w:t>US$428.75</w:t>
            </w: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29, 2020</w:t>
            </w:r>
          </w:p>
        </w:tc>
      </w:tr>
      <w:tr>
        <w:trPr>
          <w:trHeight w:val="223"/>
        </w:trPr>
        <w:tc>
          <w:tcPr>
            <w:tcW w:w="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68,351</w:t>
            </w:r>
          </w:p>
        </w:tc>
        <w:tc>
          <w:tcPr>
            <w:tcW w:w="1040" w:type="dxa"/>
            <w:vAlign w:val="bottom"/>
          </w:tcPr>
          <w:p>
            <w:pPr>
              <w:spacing w:after="0"/>
              <w:rPr>
                <w:sz w:val="19"/>
                <w:szCs w:val="19"/>
                <w:color w:val="auto"/>
              </w:rPr>
            </w:pPr>
          </w:p>
        </w:tc>
        <w:tc>
          <w:tcPr>
            <w:tcW w:w="35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CAD$428.75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21, 2021</w:t>
            </w:r>
          </w:p>
        </w:tc>
      </w:tr>
      <w:tr>
        <w:trPr>
          <w:trHeight w:val="216"/>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86,958</w:t>
            </w:r>
          </w:p>
        </w:tc>
        <w:tc>
          <w:tcPr>
            <w:tcW w:w="10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PAYMENTS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May 15, 2018, the Company’s Board of Directors authorized and approved the adoption of the 2018 Omnibus Incentive Plan (“2018 Plan”), under which an aggregate of 153,031 shares may be issued. This share reserve is the sum of 85,714 new shares, plus the remaining 67,317 shares that remained available for issuance under the Company’s 2016 Omnibus Incentive Plan, the predecessor incentive plan (the “2016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2019, there were an aggregate of 116,250 shares of common stock remaining available for grant under the Company’s 2018 Plan.</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Company issued 33,337 stock options to employees and directors of which 3,963 were forfeited. The Company did not issue any stock options to consultants.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December 31, 2019 and 2018:</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4"/>
          </w:tcPr>
          <w:p>
            <w:pPr>
              <w:ind w:left="76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 USD$</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USD$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8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15"/>
                <w:szCs w:val="15"/>
                <w:color w:val="auto"/>
              </w:rPr>
              <w:t>(1)</w:t>
            </w:r>
          </w:p>
        </w:tc>
        <w:tc>
          <w:tcPr>
            <w:tcW w:w="8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94,475</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rPr>
              <w:t>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42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2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(13,939)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15"/>
                <w:szCs w:val="15"/>
                <w:color w:val="auto"/>
              </w:rPr>
              <w:t>(2)</w:t>
            </w:r>
          </w:p>
        </w:tc>
        <w:tc>
          <w:tcPr>
            <w:tcW w:w="84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(14,855)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99,018</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2019</w:t>
            </w:r>
          </w:p>
        </w:tc>
        <w:tc>
          <w:tcPr>
            <w:tcW w:w="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248.25</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40" w:hanging="424"/>
        <w:spacing w:after="0" w:line="261"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2018, 242 stock options were exercised on a cashless basis resulting in 93 shares being withheld in satisfaction of the exercise price.</w:t>
      </w:r>
    </w:p>
    <w:p>
      <w:pPr>
        <w:ind w:left="540" w:right="460" w:hanging="424"/>
        <w:spacing w:after="0" w:line="26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2019, 14,855 stock options were exercised on a cashless basis resulting in 13,818 shares being withheld in satisfaction of the exercise price.</w:t>
      </w:r>
    </w:p>
    <w:p>
      <w:pPr>
        <w:spacing w:after="0" w:line="18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change in the Company’s functional currency effective April 1, 2018, stock options previously classified as equity were classified as liabilities. On April 1, 2018, these options had a fair value of approximately $10.0 million, which was recorded as stock-based compensation liability in the Company’s consolidated balance sheet, of which approximately $4.2 million was reclassified from additional paid-in capital and the remainder was recorded as additional stock-based compensation expense in the Company’s consolidated statement of operations and comprehensive loss. In June 2018, the Company’s Board of Directors’ approved the modification of all outstanding stock options with exercise prices denominated in CAD$ to convert the exercise prices of such options to USD$, subject to the consent of the holders of such options. On August 8, 2018, following the consent of option holders, the Company re-measured stock options for which all holders had consented to the modification and recorded $0.3 million reduction to stock-based compensation liability and reclassified $10.3 million from liability to equity. The incremental expense as a result of the modification was immaterial to the Company’s consolidated statement of operations and comprehensive loss for the year ended December 31, 2018.</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 and exercisable by employees and directors as of December 31,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2"/>
                <w:szCs w:val="12"/>
                <w:color w:val="auto"/>
              </w:rPr>
            </w:pPr>
          </w:p>
        </w:tc>
        <w:tc>
          <w:tcPr>
            <w:tcW w:w="3960" w:type="dxa"/>
            <w:vAlign w:val="bottom"/>
            <w:gridSpan w:val="2"/>
            <w:vMerge w:val="restart"/>
          </w:tcPr>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1140" w:type="dxa"/>
            <w:vAlign w:val="bottom"/>
            <w:gridSpan w:val="3"/>
            <w:vMerge w:val="continue"/>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60" w:type="dxa"/>
            <w:vAlign w:val="bottom"/>
            <w:gridSpan w:val="2"/>
            <w:vMerge w:val="continue"/>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Modification </w:t>
            </w:r>
            <w:r>
              <w:rPr>
                <w:rFonts w:ascii="Times New Roman" w:cs="Times New Roman" w:eastAsia="Times New Roman" w:hAnsi="Times New Roman"/>
                <w:sz w:val="12"/>
                <w:szCs w:val="12"/>
                <w:b w:val="1"/>
                <w:bCs w:val="1"/>
                <w:color w:val="auto"/>
              </w:rPr>
              <w:t>(1)</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571</w:t>
            </w:r>
          </w:p>
        </w:tc>
        <w:tc>
          <w:tcPr>
            <w:tcW w:w="4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December 8, 2024</w:t>
            </w:r>
          </w:p>
        </w:tc>
        <w:tc>
          <w:tcPr>
            <w:tcW w:w="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445.20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76.30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8, 2024</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445.20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March 16, 2025</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438.20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85.05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October 21, 2025</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112.00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2025</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156.80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204.94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16,997</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July 13, 2026</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187.25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181.32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16,997</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August 8, 2026</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174.30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189.75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17,624</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April 17, 2027</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284.55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263.85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May 18, 2027</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257.25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166.27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May 18, 2027</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257.25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267.77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August 8, 2027</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363.30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258.17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April 9, 2028</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316.05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280.33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9,639</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May 15, 2028</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384.65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276.29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1,584</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August 22, 2028</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358.05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252.39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September 4, 2028</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356.65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251.63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10, 2028</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361.90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255.45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1,428</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September 24, 2028</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339.85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237.58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October 15, 2028</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306.25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216.82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October 29, 2028</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339.85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240.32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November 19, 2028</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280.00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198.12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January 22, 2029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267.75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185.50</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February 4, 2029</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254.10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176.05</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15,528</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March 28, 2029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236.60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161.70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6,137</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August 7, 2029</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47.95</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August 19, 2029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45.50</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September 23, 2029</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42.00</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September 30, 2029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38.85</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420" w:type="dxa"/>
            <w:vAlign w:val="bottom"/>
          </w:tcPr>
          <w:p>
            <w:pPr>
              <w:spacing w:after="0"/>
              <w:rPr>
                <w:sz w:val="18"/>
                <w:szCs w:val="18"/>
                <w:color w:val="auto"/>
              </w:rPr>
            </w:pPr>
          </w:p>
        </w:tc>
        <w:tc>
          <w:tcPr>
            <w:tcW w:w="3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October 1, 2029</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58.80</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34.30</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4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October 14, 2029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34.30</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fair value of modified stock options on August 8, 2018</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2019, the unrecognized compensation cost related to non-vested stock options outstanding for employees and directors was</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$6.0 million which will be recognized over a weighted-average remaining vesting period of 2.8 years. The Company recognizes compensation expense for only the portion of awards that are expected to vest.</w:t>
      </w:r>
    </w:p>
    <w:p>
      <w:pPr>
        <w:spacing w:after="0" w:line="18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During the fourth quarter of 2017, upon a review of the Company’s equity compensation awards granted under the 2016 Plan, the Company determined that it had inadvertently exceeded the annual per-person sub-limits involving an option award previously granted to a current executive officer. The aggregate amount of common stock represented by this excess award was 1,714 shares. This excess award was deemed to have been granted outside of the 2016 Plan and, as such, the Company applied liability accounting to the award. As a result, this excess award was to be re-measured at the end of each reporting period until such time that the Company’s stockholders approved the excess award, at which time the liability would be reclassified to equity. On June 28,</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2018, the Company’s stockholders approved the excess award. On August 8, 2018, upon the modification of the exercise price of this stock option to convert such exercise price from CAD$ to USD$ as described above this excess award was re-measured again and reclassified from liability to equity for the portion of the option that had vested.</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2019 and 2018, the Company granted 33,337 and 28,468 stock options, respectively, to employees and directors at a weighted average exercise price of $162.74 and $354.20, respectively. The fair value of employee and director stock options granted for the years ended December 31, 2019 and 2018 had a weighted average grant date fair value of $105.38 and $272.30 per option, respectively, and they were estimated using the Black-Scholes option-pricing model with the following weighted-average assumptions: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3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w:t>
            </w:r>
          </w:p>
        </w:tc>
        <w:tc>
          <w:tcPr>
            <w:tcW w:w="2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162.74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354.20</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5.42 years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6.25 years</w:t>
            </w: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76.90%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3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Stock Options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the Company did not grant any stock options to consultants. For the year ended December 31, 2018 the Company granted 428 stock options to consultants at a weighted average exercise price of $358.05. Stock options granted to the Company’s consultants for the year ended December 31, 2018 had a weighted average grant date fair value of $310.45 per share, and they were estimated using the Black-Scholes option-pricing model with the following weighted-average assumptions:</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2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358.05</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 term</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 and exercisable by consultants as of December 31,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7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2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26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7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144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Modification </w:t>
            </w:r>
            <w:r>
              <w:rPr>
                <w:rFonts w:ascii="Times New Roman" w:cs="Times New Roman" w:eastAsia="Times New Roman" w:hAnsi="Times New Roman"/>
                <w:sz w:val="12"/>
                <w:szCs w:val="12"/>
                <w:b w:val="1"/>
                <w:bCs w:val="1"/>
                <w:color w:val="auto"/>
              </w:rPr>
              <w:t>(1)</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855</w:t>
            </w:r>
          </w:p>
        </w:tc>
        <w:tc>
          <w:tcPr>
            <w:tcW w:w="24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December 8, 2024</w:t>
            </w: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40"/>
              <w:spacing w:after="0" w:line="203" w:lineRule="exact"/>
              <w:rPr>
                <w:sz w:val="20"/>
                <w:szCs w:val="20"/>
                <w:color w:val="auto"/>
              </w:rPr>
            </w:pPr>
            <w:r>
              <w:rPr>
                <w:rFonts w:ascii="Times New Roman" w:cs="Times New Roman" w:eastAsia="Times New Roman" w:hAnsi="Times New Roman"/>
                <w:sz w:val="18"/>
                <w:szCs w:val="18"/>
                <w:color w:val="auto"/>
                <w:w w:val="88"/>
              </w:rPr>
              <w:t>4.94</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$445.20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76.30</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855</w:t>
            </w: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3,142</w:t>
            </w:r>
          </w:p>
        </w:tc>
        <w:tc>
          <w:tcPr>
            <w:tcW w:w="240" w:type="dxa"/>
            <w:vAlign w:val="bottom"/>
          </w:tcPr>
          <w:p>
            <w:pPr>
              <w:spacing w:after="0"/>
              <w:rPr>
                <w:sz w:val="18"/>
                <w:szCs w:val="18"/>
                <w:color w:val="auto"/>
              </w:rPr>
            </w:pPr>
          </w:p>
        </w:tc>
        <w:tc>
          <w:tcPr>
            <w:tcW w:w="2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October 28, 2025</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5.82</w:t>
            </w: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$111.30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230.67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October 3, 2026</w:t>
            </w:r>
          </w:p>
        </w:tc>
        <w:tc>
          <w:tcPr>
            <w:tcW w:w="17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6.75</w:t>
            </w:r>
          </w:p>
        </w:tc>
        <w:tc>
          <w:tcPr>
            <w:tcW w:w="132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$180.25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187.25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spacing w:after="0"/>
              <w:rPr>
                <w:sz w:val="18"/>
                <w:szCs w:val="18"/>
                <w:color w:val="auto"/>
              </w:rPr>
            </w:pPr>
          </w:p>
        </w:tc>
        <w:tc>
          <w:tcPr>
            <w:tcW w:w="2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May 18, 2027</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7.37</w:t>
            </w: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$257.25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267.77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August 8, 2027</w:t>
            </w:r>
          </w:p>
        </w:tc>
        <w:tc>
          <w:tcPr>
            <w:tcW w:w="17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7.60</w:t>
            </w:r>
          </w:p>
        </w:tc>
        <w:tc>
          <w:tcPr>
            <w:tcW w:w="132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$363.30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258.17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18"/>
                <w:szCs w:val="18"/>
                <w:color w:val="auto"/>
              </w:rPr>
            </w:pPr>
          </w:p>
        </w:tc>
        <w:tc>
          <w:tcPr>
            <w:tcW w:w="2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November 6, 2027</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7.84</w:t>
            </w: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$567.00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244.32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August 22, 2028</w:t>
            </w:r>
          </w:p>
        </w:tc>
        <w:tc>
          <w:tcPr>
            <w:tcW w:w="17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8.64</w:t>
            </w:r>
          </w:p>
        </w:tc>
        <w:tc>
          <w:tcPr>
            <w:tcW w:w="132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rPr>
              <w:t>$358.05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310.28</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3"/>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fair value of modified stock options on August 8, 2018</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of December 31, 2019, the unrecognized compensation cost related to non-vested stock options outstanding for consultants was $0.1 million which will be recognized over a weighted-average remaining vesting period of 1.6 years.</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following the redenomination of the exercise prices of stock options from CAD$ to USD$, stock options awarded to consultants that are performing services for NHC ceased to be accounted for as derivative financial instruments. As a result, following the re-measurement of stock options granted to the Company’s consultants on August 8, 2018, all vested stock options granted to these consultants were reclassified from liability to equity.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non-employee stock options that had been accounted for as derivative financial instruments during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2018 (amounts in thousands):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4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non-employee stock options at beginning of year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non-employee options</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7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non-employee stock options during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year</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additional paid-in capital</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non-employee stock options at end of year</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fair value of non-employee stock options previously classified as liabilities and recorded as derivative financial instruments which were subsequently reclassified to equity following the modification of stock option previously on August 8, 2018 were estimated using the Black-Scholes option pricing model with the following weighted-average assumptions as of August 8, 2018:</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August 8, 2018</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8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CAD$424.90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CAD$153.30</w:t>
            </w: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Expected life</w:t>
            </w:r>
          </w:p>
        </w:tc>
        <w:tc>
          <w:tcPr>
            <w:tcW w:w="3980" w:type="dxa"/>
            <w:vAlign w:val="bottom"/>
            <w:gridSpan w:val="3"/>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0.93</w:t>
            </w:r>
          </w:p>
        </w:tc>
      </w:tr>
      <w:tr>
        <w:trPr>
          <w:trHeight w:val="234"/>
        </w:trPr>
        <w:tc>
          <w:tcPr>
            <w:tcW w:w="438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73.18%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left="120" w:right="80"/>
        <w:spacing w:after="0" w:line="312" w:lineRule="auto"/>
        <w:rPr>
          <w:sz w:val="20"/>
          <w:szCs w:val="20"/>
          <w:color w:val="auto"/>
        </w:rPr>
      </w:pPr>
      <w:r>
        <w:rPr>
          <w:rFonts w:ascii="Times New Roman" w:cs="Times New Roman" w:eastAsia="Times New Roman" w:hAnsi="Times New Roman"/>
          <w:sz w:val="17"/>
          <w:szCs w:val="17"/>
          <w:color w:val="auto"/>
        </w:rPr>
        <w:t>During the second quarter of 2017, the Company granted RSUs to certain employees under the 2016 Plan that were scheduled to vest over a three-year period, with 25% vesting immediately. The fair value of the RSUs was based on the closing price of the Company’s common stock on the date of grant.</w:t>
      </w:r>
    </w:p>
    <w:p>
      <w:pPr>
        <w:spacing w:after="0" w:line="14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2019, certain members of the Company’s executive management team elected to receive RSUs in lieu of cash compensation under the 2018 Plan that vested upon issuance. The fair value of the RSUs was based on the closing price of the Company’s common stock on the day of the grant.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Company’s RSU activity for the years ended December 31, 2019 and 2018:</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56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000" w:type="dxa"/>
            <w:vAlign w:val="bottom"/>
            <w:gridSpan w:val="3"/>
          </w:tcPr>
          <w:p>
            <w:pPr>
              <w:jc w:val="center"/>
              <w:ind w:left="976"/>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6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2018</w:t>
            </w:r>
          </w:p>
        </w:tc>
        <w:tc>
          <w:tcPr>
            <w:tcW w:w="1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Vested and settled during 2018 </w:t>
            </w:r>
            <w:r>
              <w:rPr>
                <w:rFonts w:ascii="Times New Roman" w:cs="Times New Roman" w:eastAsia="Times New Roman" w:hAnsi="Times New Roman"/>
                <w:sz w:val="15"/>
                <w:szCs w:val="15"/>
                <w:b w:val="1"/>
                <w:bCs w:val="1"/>
                <w:color w:val="auto"/>
              </w:rPr>
              <w:t>(1)</w:t>
            </w:r>
          </w:p>
        </w:tc>
        <w:tc>
          <w:tcPr>
            <w:tcW w:w="16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u w:val="single" w:color="auto"/>
                <w:color w:val="auto"/>
              </w:rPr>
              <w:t>CAD</w:t>
            </w: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r>
              <w:rPr>
                <w:rFonts w:ascii="Times New Roman" w:cs="Times New Roman" w:eastAsia="Times New Roman" w:hAnsi="Times New Roman"/>
                <w:sz w:val="18"/>
                <w:szCs w:val="18"/>
                <w:u w:val="single" w:color="auto"/>
                <w:color w:val="auto"/>
              </w:rPr>
              <w:t>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2018</w:t>
            </w:r>
          </w:p>
        </w:tc>
        <w:tc>
          <w:tcPr>
            <w:tcW w:w="1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CAD$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0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USD$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Vested and settled during 2019 </w:t>
            </w:r>
            <w:r>
              <w:rPr>
                <w:rFonts w:ascii="Times New Roman" w:cs="Times New Roman" w:eastAsia="Times New Roman" w:hAnsi="Times New Roman"/>
                <w:sz w:val="15"/>
                <w:szCs w:val="15"/>
                <w:b w:val="1"/>
                <w:bCs w:val="1"/>
                <w:color w:val="auto"/>
              </w:rPr>
              <w:t>(1)</w:t>
            </w:r>
          </w:p>
        </w:tc>
        <w:tc>
          <w:tcPr>
            <w:tcW w:w="30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u w:val="single" w:color="auto"/>
                <w:color w:val="auto"/>
              </w:rPr>
              <w:t>CAD</w:t>
            </w: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r>
              <w:rPr>
                <w:rFonts w:ascii="Times New Roman" w:cs="Times New Roman" w:eastAsia="Times New Roman" w:hAnsi="Times New Roman"/>
                <w:sz w:val="18"/>
                <w:szCs w:val="18"/>
                <w:u w:val="single" w:color="auto"/>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16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 RSUs withheld to satisfy required withholding taxes.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in the Company’s consolidated statements of operations and comprehensive loss as follows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6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3,793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7,156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4,691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8,095</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(amounts in thousands):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Royalty fees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1,519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1,812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net loss (income) are as follows (amounts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360" w:type="dxa"/>
            <w:vAlign w:val="bottom"/>
            <w:tcBorders>
              <w:bottom w:val="single" w:sz="8" w:color="CCEEFF"/>
            </w:tcBorders>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$7,980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$29,013</w:t>
            </w:r>
          </w:p>
        </w:tc>
        <w:tc>
          <w:tcPr>
            <w:tcW w:w="10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4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4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2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360" w:type="dxa"/>
            <w:vAlign w:val="bottom"/>
            <w:shd w:val="clear" w:color="auto" w:fill="CCEEFF"/>
          </w:tcPr>
          <w:p>
            <w:pPr>
              <w:spacing w:after="0"/>
              <w:rPr>
                <w:sz w:val="18"/>
                <w:szCs w:val="18"/>
                <w:color w:val="auto"/>
              </w:rPr>
            </w:pPr>
          </w:p>
        </w:tc>
        <w:tc>
          <w:tcPr>
            <w:tcW w:w="5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9,781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28,623</w:t>
            </w:r>
          </w:p>
        </w:tc>
      </w:tr>
      <w:tr>
        <w:trPr>
          <w:trHeight w:val="20"/>
        </w:trPr>
        <w:tc>
          <w:tcPr>
            <w:tcW w:w="2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360" w:type="dxa"/>
            <w:vAlign w:val="bottom"/>
          </w:tcPr>
          <w:p>
            <w:pPr>
              <w:spacing w:after="0"/>
              <w:rPr>
                <w:sz w:val="24"/>
                <w:szCs w:val="24"/>
                <w:color w:val="auto"/>
              </w:rPr>
            </w:pPr>
          </w:p>
        </w:tc>
        <w:tc>
          <w:tcPr>
            <w:tcW w:w="53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F-30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income tax provision computed at statutory rates to the reported income tax provision is as follows (amounts in thousands):</w:t>
      </w:r>
    </w:p>
    <w:p>
      <w:pPr>
        <w:spacing w:after="0" w:line="246"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28,623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recovery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(2,054)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 recovery resulting from:</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(2,964)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based payments</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permanent difference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income taxed at foreign rate</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4,381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Company’s deferred income tax assets and liabilities after applying enacted corporate tax rates are as follows (amounts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income tax assets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losses carried forward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21,318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16,028</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(24,786)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(18,777)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December 31, 2019, the Company has accumulated non-capital losses totaling $3.6 million in Canada and net operating losses of $75.3 million in the United States, which may be available to carry forward and offset future years’ taxable income. The losses expire in various amounts starting in 2033.</w:t>
      </w:r>
    </w:p>
    <w:p>
      <w:pPr>
        <w:spacing w:after="0" w:line="176" w:lineRule="exact"/>
        <w:rPr>
          <w:sz w:val="20"/>
          <w:szCs w:val="20"/>
          <w:color w:val="auto"/>
        </w:rPr>
      </w:pPr>
    </w:p>
    <w:p>
      <w:pPr>
        <w:ind w:left="120" w:right="280"/>
        <w:spacing w:after="0" w:line="272" w:lineRule="auto"/>
        <w:rPr>
          <w:sz w:val="20"/>
          <w:szCs w:val="20"/>
          <w:color w:val="auto"/>
        </w:rPr>
      </w:pPr>
      <w:r>
        <w:rPr>
          <w:rFonts w:ascii="Times New Roman" w:cs="Times New Roman" w:eastAsia="Times New Roman" w:hAnsi="Times New Roman"/>
          <w:sz w:val="17"/>
          <w:szCs w:val="17"/>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50 percent, as defined under Section 382 of the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 The Act makes broad changes to the U.S. tax code, including, but not limited to, (i) reducing the U.S federal corporate tax rate from 35% to 21%;</w:t>
      </w:r>
    </w:p>
    <w:p>
      <w:pPr>
        <w:spacing w:after="0" w:line="9" w:lineRule="exact"/>
        <w:rPr>
          <w:sz w:val="20"/>
          <w:szCs w:val="20"/>
          <w:color w:val="auto"/>
        </w:rPr>
      </w:pPr>
    </w:p>
    <w:p>
      <w:pPr>
        <w:ind w:left="120" w:right="60" w:hanging="4"/>
        <w:spacing w:after="0" w:line="253" w:lineRule="auto"/>
        <w:tabs>
          <w:tab w:leader="none" w:pos="3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corporate alternative minimum tax; (iii) creating a new limitation on deductible interest expense; (iv) creating the base erosion and anti-abuse tax, a new minimum tax; (v) limitation on the deductibility of certain executive compensation; (vi) enhancing the option to claim accelerated depreciation deductions on qualified property, and (vii) changing rules related to uses and limitations of net operating loss carryforwards created in tax years beginning after December 31, 2017. The Act reduced the corporate tax rate to 21%, effective January 1, 2018.</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completed its determination of the accounting implications of The Act on its tax accruals as of December 31, 2018 and made estimates primarily comprised of the re-measurement of federal net deferred tax assets resulting from the permanent reduction in the U.S. statutory corporate tax rate to 21% from 34%.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0"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does not have an accrual relating to uncertain tax positions. It is not anticipated that unrecognized tax benefits would significantly increase or decrease within 12 months of the reporting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35" w:lineRule="exact"/>
        <w:rPr>
          <w:sz w:val="20"/>
          <w:szCs w:val="20"/>
          <w:color w:val="auto"/>
        </w:rPr>
      </w:pPr>
    </w:p>
    <w:p>
      <w:pPr>
        <w:ind w:left="540" w:right="80" w:hanging="424"/>
        <w:spacing w:after="0" w:line="258"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2013, the Company entered into a license agreement with Advanced NeuroRehabilitation, LLC (“ANR”) for an exclusive right on ANR’s patent pending technology, claims and knowhow. In addition to the issuance of 91,628 shares of common stock, the Company agreed to pay a 4% royalty on net revenue on the sales of devices covered by the patent-pending technology and services related to the therapy or use of devices covered by the patent-pending technology. For the years ended December 31, 2019 and 2018, the Company recorded approximately $59 thousand and $0, respectively, in royalty expenses in its consolidated statement of operations.</w:t>
      </w:r>
    </w:p>
    <w:p>
      <w:pPr>
        <w:spacing w:after="0" w:line="88"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2017, HMI amended the Asset Purchase Agreement with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they were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93"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the Company signed a development and distribution agreement with Altair LLC to apply for registration and distribution of the PoNS device in the territories of the former Soviet Union. Through March 31, 2019, the Company was entitled to receive a 7% royalty on sales of the devices within the territories. Altair terminated the distribution agreement effective May, 20, 2019. The Company made no commercial sales in the territories pursuant to the distribution agreement.</w:t>
      </w:r>
    </w:p>
    <w:p>
      <w:pPr>
        <w:spacing w:after="0" w:line="85" w:lineRule="exact"/>
        <w:rPr>
          <w:rFonts w:ascii="Times New Roman" w:cs="Times New Roman" w:eastAsia="Times New Roman" w:hAnsi="Times New Roman"/>
          <w:sz w:val="18"/>
          <w:szCs w:val="18"/>
          <w:color w:val="auto"/>
        </w:rPr>
      </w:pPr>
    </w:p>
    <w:p>
      <w:pPr>
        <w:ind w:left="540" w:right="80" w:hanging="424"/>
        <w:spacing w:after="0" w:line="266"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It is not reasonably certain at this point in time that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Company will elect to utilize the option to extend. Monthly rent plus utilities will be approximately $20 thousand per month beginning in January 2018 with a 3% annual increase.</w:t>
      </w:r>
    </w:p>
    <w:p>
      <w:pPr>
        <w:spacing w:after="0" w:line="162"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operating lease information including future minimum lease payments under a non-cancellable lease as of December 31, 2019 (amounts in thousands):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3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For the Year Ending December 31, 2019</w:t>
            </w:r>
          </w:p>
        </w:tc>
        <w:tc>
          <w:tcPr>
            <w:tcW w:w="4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operating cash flows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CEEFF"/>
          </w:tcPr>
          <w:p>
            <w:pPr>
              <w:spacing w:after="0"/>
              <w:rPr>
                <w:sz w:val="18"/>
                <w:szCs w:val="18"/>
                <w:color w:val="auto"/>
              </w:rPr>
            </w:pP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3.05 years</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30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2019 were as follows: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For the Period Ending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Borders>
              <w:top w:val="single" w:sz="8" w:color="CCEEFF"/>
            </w:tcBorders>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r>
      <w:tr>
        <w:trPr>
          <w:trHeight w:val="223"/>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future minimum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440"/>
        <w:spacing w:after="0"/>
        <w:rPr>
          <w:sz w:val="20"/>
          <w:szCs w:val="20"/>
          <w:color w:val="auto"/>
        </w:rPr>
      </w:pPr>
      <w:r>
        <w:rPr>
          <w:rFonts w:ascii="Times New Roman" w:cs="Times New Roman" w:eastAsia="Times New Roman" w:hAnsi="Times New Roman"/>
          <w:sz w:val="18"/>
          <w:szCs w:val="18"/>
          <w:b w:val="1"/>
          <w:bCs w:val="1"/>
          <w:color w:val="auto"/>
        </w:rPr>
        <w:t>Reported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Current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Non-current operating lease liability</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172</w:t>
      </w:r>
    </w:p>
    <w:p>
      <w:pPr>
        <w:spacing w:after="0" w:line="27"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8"/>
          <w:szCs w:val="18"/>
          <w:color w:val="auto"/>
        </w:rPr>
        <w:t>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14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580" w:hanging="571"/>
        <w:spacing w:after="0"/>
        <w:tabs>
          <w:tab w:leader="none" w:pos="58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5314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5314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380"/>
          </w:cols>
          <w:pgMar w:left="320" w:top="455" w:right="439" w:bottom="1440" w:gutter="0" w:footer="0" w:header="0"/>
          <w:type w:val="continuous"/>
        </w:sectPr>
      </w:pPr>
    </w:p>
    <w:p>
      <w:pPr>
        <w:ind w:left="540" w:right="20" w:hanging="424"/>
        <w:spacing w:after="0" w:line="255"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the agreement will automatically renew for additional consecutive terms of one year, unless cancelled by either party upon 180-day written notice to the other party prior to the end of the then current term. As of December 31, 2019, the Company had a $0.1 million obligation to Key Tronic to complete the Company’s forecast for the procurement of materials necessary for the delivery of PoNS devices.</w:t>
      </w:r>
    </w:p>
    <w:p>
      <w:pPr>
        <w:spacing w:after="0" w:line="94"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Company entered into an exclusive strategic alliance agreement with HTC and Heuro to establish up to 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 During the second quarter of 2019, the Company entered into the clinic expansion phase of this alliance with the addition of three new PoNS authorized clinics, bringing the total number of clinics authorized to treat patients with the PoNS device to five in Canada. The agreement also provided for HTC to pay the Company CAD$750 thousand in three annual payments of CAD$250 thousand beginning December 31, 2019, in consideration for the exclusivity right the Company granted to Heuro. The Company and HTC governed the agreement through a joint steering committee, and each funded up to 50% of Heuro’s operating budget as agreed upon by a joint steering committee and shared in the net profits and losses of Heuro on a 50/50 basis. On October 30, 2019, the Company entered into a Share Purchase Agreement with HTC to purchase Heuro. The receivable was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type w:val="continuous"/>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considered part of the consideration for acquisition and was imbedded in the purchase price allocation. See Note 2 for details of the transaction. For the years ended December 31, 2019 and 2018, the Company recorded $0.1 million and $0.2 million, respectively, in expenses for its share of the estimated costs incurred by Heuro. Additionally, for the year ended December 31, 2018, the Company recorded $0.2 million of expenses incurred by the Company in performing services on behalf of Heuro. The aforementioned expenses were recorded as general and administrative expenses in the Company’s consolidated statement of operations and comprehensive loss. During the year ended December 31, 2019, the Company recorded $0.1 million in cost of sales for services rendered in the Company’s consolidated statement of operations and comprehensive loss. Further for the year ended December 31, 2019, the Company recognized $37 thousand in fee revenue related to its arrangement with HTC and Heuro (see Note 2).</w:t>
      </w:r>
    </w:p>
    <w:p>
      <w:pPr>
        <w:spacing w:after="0" w:line="336"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ASC 810, an entity that holds a variable interest in a VIE and meets certain requirements would be considered to be the primary beneficiary of the VIE and is required to consolidate the VIE in its consolidated financial statements. In order to be considered the primary beneficiary of a VIE, an entity must hold a variable interest in the VIE and have both:</w:t>
      </w:r>
    </w:p>
    <w:p>
      <w:pPr>
        <w:spacing w:after="0" w:line="89"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economic performance of the VIE;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benefits from, or the obligation to absorb losses of the VIE that could be potentially significant to the VIE.</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 returns of the entity and the ability to directly or indirectly make decisions about the entity’s activities. If the Company determines that it is the primary beneficiary of a VIE, the Company consolidates the statements of operations and financial condition of the VIE into its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Unconsolidated Variable Interest Entity</w:t>
      </w:r>
    </w:p>
    <w:p>
      <w:pPr>
        <w:spacing w:after="0" w:line="119"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Prior to the acquisition of Heuro on October 30, 2019 (see Note 2), the Company utilized the consolidation guidance under ASC 810 to determine whether Heuro was a VIE, and if so, whether the Company was the primary beneficiary of Heuro (see Note 7(f)). Prior to the aforementioned acquisition, the Company had concluded that Heuro was a VIE based on the fact that the equity investment at risk in Heuro was not sufficient. The Company’s variable interests in Heuro arose from a profit sharing arrangement with Heuro. In determining whether the Company was the primary beneficiary and whether the Company had the right to receive benefits and the obligation to absorb losses that could potentially be significant to the VIE, the Company evaluated its economic interest in Heuro.</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evaluation considered all relevant factors of Heuro’s structure, including its capital structure, contractual rights to earnings (losses) as well as other contractual arrangements that had the potential to be economically significant. Following the guidance in ASC 810, although the Company had the obligation to absorb losses prior to October 30, 2019, the Company concluded that it was not the primary beneficiary, as it did not have the power to direct the activities that most significantly affected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40"/>
          </w:cols>
          <w:pgMar w:left="320" w:top="455" w:right="5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Accordingly, prior to October 30, 2019, the Company did not consolidate Heuro in its consolidated financial statements nor did the Company have any carrying amounts for assets and liabilities relating to the variable interest in the VIE. Upon completion of the acquisition of Heuro on October 30, 2019, the Company consolidates Heuro’s results in its consolidated financial statements.</w:t>
      </w:r>
    </w:p>
    <w:p>
      <w:pPr>
        <w:spacing w:after="0" w:line="320"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2019 and 2018, the Company paid approximately $27 thousand and $33 thousand, respectively, in consulting fees to a director of the Company. As of December 31, 2019, the Company owed $5 thousand to a director for consulting services.</w:t>
      </w:r>
    </w:p>
    <w:p>
      <w:pPr>
        <w:spacing w:after="0" w:line="162"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During April 2016, the Company entered into a consulting agreement with Montel Media, Inc. (“Montel Media”), pursuant to which Montel Media provides consulting services for the promotion of the Company’s clinical trials and ongoing media and marketing strategies. Under the agreement, Montel Media received $15 thousand per month. During the first quarter of 2018, the Company terminated its agreement with Montel Media. Montel Media is owned by Montel Williams, who beneficially owns greater than 5% of the Company’s common stock. The Company paid Montel Media $45 thousand for the year ended December 31, 2018 pursuant to the consulting agreement. The Company made no payments to Montel Media for the year ended December 31, 2019</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a benefit of $0.3 million, which included a foreign exchange gain of $18 thousand was included in the change in fair value of derivative financial instruments as the fair value of stock-based compensation attributed to the options granted to a director for consulting services rendered with respect to the design and development of the PoNS device. With the adoption of ASC 2018-07 during the third quarter of 2018, all non-employee stock-based compensation are no longer recorded as derivative financial instruments.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Company’s Chief Medical Officer was a founding member of Clinvue LLC (“Clinvue”), a company that provided regulatory advisory services to the Company until it ceased operations during the fourth quarter of 2018. The Company paid Clinvue approximately $0.1 million for consulting services in the year ended December 31, 2018. The Company made no payments to Clinvue for the year ended December 31, 2019.</w:t>
      </w:r>
    </w:p>
    <w:p>
      <w:pPr>
        <w:spacing w:after="0" w:line="320"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SOLE-SOURCE COST-SHARING AGREEMENT AND COOPERATIVE RESEARCH AND DEVELOPMENT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2015, the Company entered into a sole source cost sharing agreement with the U.S. Army Medical Research and Materiel Command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(“USAMRMC”). Under the terms of the contract, the USAMRMC reimbursed the Company up to $3.0 million to conduct a registrational trial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investigating the safety and effectiveness of the PoNS device for the treatment of chronic balance deficits due to mmTBI. Reimbursement of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agreement was based on a schedule of milestones related to the completion of subjects in the trial. The original contract expired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2016; however, the Company extended the agreement through December 31, 2017. On November 7, 2017, the Company received another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extension of the contract agreement to December 31, 2018.</w:t>
      </w:r>
    </w:p>
    <w:p>
      <w:pPr>
        <w:spacing w:after="0" w:line="207"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In addition, during the third quarter of 2017, the Company announced the execution of an extension to its Cooperative Research and Development Agreement with the USAMRMC through 2018 and extended the deadline for commercialization of the PoNS device to December 31, 2021.</w:t>
      </w:r>
    </w:p>
    <w:p>
      <w:pPr>
        <w:spacing w:after="0" w:line="14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December 2018, the U.S. Army notified the Company that they were amending the U.S. Army Agreement such that the satisfaction of the obligation of the contract was changed from FDA marketing authorization of the PoNS device to submitting of an application for marketing authorization of the PoNS device with the FDA. The Company satisfied this obligation when it submitted its application for marketing authorization of the PoNS device to the FDA on August 31, 2018, and provided copies of the submission documents to the U.S. Army.</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received a total of $3.0 million with respect to expenses reimbursed for amounts owed to the Company for completion of development milestones. All reimbursement amounts received are credited directly to the accounts in which the original expenses were recorded, including research and development, wages and salaries, and legal expenses.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for share data,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ind w:left="360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2,394</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6,026</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10,347</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2,829</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4,512</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 as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30, 2020 and December 31, 2019</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 1,295,805 and 877,672 shares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September 30, 2020 and December 31, 2019, respectively</w:t>
            </w:r>
          </w:p>
        </w:tc>
        <w:tc>
          <w:tcPr>
            <w:tcW w:w="16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120,257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111,509</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(116,368)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(104,773)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3,197</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6,026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10,347</w:t>
            </w:r>
          </w:p>
        </w:tc>
      </w:tr>
      <w:tr>
        <w:trPr>
          <w:trHeight w:val="20"/>
        </w:trPr>
        <w:tc>
          <w:tcPr>
            <w:tcW w:w="8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right="43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(Amounts in thousands except shares and per share data)</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sales,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Fee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1,344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12,715</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11,667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19,177</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(11,384)</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(18,371)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financial instruments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tcPr>
          <w:p>
            <w:pPr>
              <w:spacing w:after="0"/>
              <w:rPr>
                <w:sz w:val="18"/>
                <w:szCs w:val="18"/>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13,921</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(11,595)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(11,386)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7"/>
              </w:rPr>
              <w:t>1,119,639</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5"/>
              </w:rPr>
              <w:t>739,115</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7"/>
              </w:rPr>
              <w:t>1,119,639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5"/>
              </w:rPr>
              <w:t>739,115</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right="10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for the Nine Months Ended September 30, 2020 and 2019 </w:t>
      </w:r>
      <w:r>
        <w:rPr>
          <w:rFonts w:ascii="Times New Roman" w:cs="Times New Roman" w:eastAsia="Times New Roman" w:hAnsi="Times New Roman"/>
          <w:sz w:val="18"/>
          <w:szCs w:val="18"/>
          <w:color w:val="auto"/>
        </w:rPr>
        <w:t>(Except share and per share data,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3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3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36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2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line="20" w:lineRule="exact"/>
              <w:rPr>
                <w:sz w:val="1"/>
                <w:szCs w:val="1"/>
                <w:color w:val="auto"/>
              </w:rPr>
            </w:pPr>
          </w:p>
        </w:tc>
        <w:tc>
          <w:tcPr>
            <w:tcW w:w="11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45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737,938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$105,436</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76"/>
              </w:rPr>
              <w:t>(591)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(94,992)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 and warrants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derivative financial instruments from</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3,336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740,099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109,022</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76"/>
              </w:rPr>
              <w:t>(759)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(99,442</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540" w:type="dxa"/>
            <w:vAlign w:val="bottom"/>
          </w:tcPr>
          <w:p>
            <w:pPr>
              <w:spacing w:after="0"/>
              <w:rPr>
                <w:sz w:val="24"/>
                <w:szCs w:val="24"/>
                <w:color w:val="auto"/>
              </w:rPr>
            </w:pPr>
          </w:p>
        </w:tc>
        <w:tc>
          <w:tcPr>
            <w:tcW w:w="13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10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3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136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2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line="20" w:lineRule="exact"/>
              <w:rPr>
                <w:sz w:val="1"/>
                <w:szCs w:val="1"/>
                <w:color w:val="auto"/>
              </w:rPr>
            </w:pPr>
          </w:p>
        </w:tc>
        <w:tc>
          <w:tcPr>
            <w:tcW w:w="11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454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877,672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$ 111,509</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76"/>
              </w:rPr>
              <w:t>(902)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(104,773)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from</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At-the-Market program</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232,526</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5,043</w:t>
            </w:r>
          </w:p>
        </w:tc>
        <w:tc>
          <w:tcPr>
            <w:tcW w:w="20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198"/>
        </w:trPr>
        <w:tc>
          <w:tcPr>
            <w:tcW w:w="4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from the March</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Offering</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178,776</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from the March 2020 Offering</w:t>
            </w: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1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(11,595)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1,295,805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120,257</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76"/>
              </w:rPr>
              <w:t>(693)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(116,368</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27"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2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(11,595)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financial instruments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(14,033)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3,336</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(16,460)</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issuances of common stock and warrants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 and warrants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Paycheck Protection Program Loan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 of foreign exchange rate changes on cash</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(16,564)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25,583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9,019</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Helius Medical Technologies, Inc. (“we” or the “Company”), is a neurotech company focused on neurological wellness. The Company’s purpose is to develop, license or acquire unique and non-invasive technologies targeted at reducing symptoms of neurological disease or trauma.</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Company’s first product, known as the Portable Neuromodulation Stimulator (“PoNS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is authorized for sale in Canada as a class II, non-implantable medical device intended as a short term treatment (14 weeks) of gait deficit due to mild and moderate symptoms from multiple sclerosis (“MS”,) and chronic balance deficit due to mild-to-moderate traumatic brain injury (“mmTBI”) and is to be used in conjunction with physical therapy (“PoNS Treatment</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not currently commercially available in the United States, the European Union or Australia.</w:t>
      </w:r>
    </w:p>
    <w:p>
      <w:pPr>
        <w:spacing w:after="0" w:line="18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was incorporated in British Columbia, Canada on March 13, 2014. On May 28, 2014, we were reincorporated from British Columbia to the State of Wyoming, and on July 20, 2018, we were reincorporated from the State of Wyoming to the State of Delaware. We are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Reverse Stock Split</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Effective after the close of business on December 31, 2020, the Company completed a 1-for-35 reverse stock split of its common stock (“2020 Reverse Stock Split”). The 2020 Reverse Stock Split did not change the par value of the Company’s common stock or the number of common or preferred shares authorized by the Company’s Certificate of Incorporation. All share and per-share amounts have been retrospectively adjusted to reflect the 2020 Reverse Stock Split for all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As of September 30, 2020, the Company had cash of $2.7 million. For the nine months ended September 30, 2020, the Company had an operating loss of $11.4 million, and as of September 30, 2020, its accumulated deficit was $116.4 million. For the nine months ended September 30, 2020, the Company had $0.5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on hand, cash received from the sale of its PoNS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device in Canada and by raising additional capital through equity or debt financings. As discussed further in Note 8, on October 26, 2020, the Company closed a private placement and received net proceeds of approximately $3.2 million.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1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In addition, the resurgence of COVID-19 cases across Canada in the fourth quarter of 2020 has led to further restrictions on clinic activities. Moreover, the Company’s ability to conduct its ongoing clinical experience programs in Canada has been and may continue to be impaired due to trial participants’ attendance being adversely affected by COVID-19, leading to further delays in the development and approval of the Company’s product candidate. In addition, the COVID-19 pandemic has and may continue to cause delays in the Company’s suppliers’ ability to ship materials that the Company relies upon, and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9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Nasdaq Delisting</w:t>
      </w:r>
    </w:p>
    <w:p>
      <w:pPr>
        <w:spacing w:after="0" w:line="119" w:lineRule="exact"/>
        <w:rPr>
          <w:sz w:val="20"/>
          <w:szCs w:val="20"/>
          <w:color w:val="auto"/>
        </w:rPr>
      </w:pPr>
    </w:p>
    <w:p>
      <w:pPr>
        <w:jc w:val="both"/>
        <w:ind w:left="120" w:right="200"/>
        <w:spacing w:after="0" w:line="258" w:lineRule="auto"/>
        <w:rPr>
          <w:sz w:val="20"/>
          <w:szCs w:val="20"/>
          <w:color w:val="auto"/>
        </w:rPr>
      </w:pPr>
      <w:r>
        <w:rPr>
          <w:rFonts w:ascii="Times New Roman" w:cs="Times New Roman" w:eastAsia="Times New Roman" w:hAnsi="Times New Roman"/>
          <w:sz w:val="18"/>
          <w:szCs w:val="18"/>
          <w:color w:val="auto"/>
        </w:rPr>
        <w:t>On March 23, 2020, the Company received a letter (the “Notice”) from the Listing Qualifications staff of Nasdaq indicating that, based on the closing bid price of the Company’s Class A common stock (the “common stock”) for the 30 consecutive business days preceding the Notice, the Company no longer meets the requirement to maintain a minimum bid price of $1.00 per share, as set forth in Nasdaq Listing Rule 5550(a)(2) (the “Minimum Bid Price Requirement”). The Notice did not result in the immediate delisting of the Company’s common stock from Nasdaq. In accordance with Nasdaq Listing Rule 5810(c)(3)(A), the Company was provided a period of 180 calendar days in which to regain compliance.</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April 17, 2020, the Company received a second letter (the “Second Notice”) for the Listing Qualifications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the Company was given to until December 3, 2020 to regain compliance with the Minimum Bid Price Requirement.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December 4, 2020, the Company received notice from the Listing Qualifications staff of Nasdaq indicating that the Company was not eligible for an additional 180 day extension to meet the Minimum Bid Price Requirement.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 extension granted by the Panel expires. An oral hearing has been scheduled for early 2021 (See Note 8).</w:t>
      </w:r>
    </w:p>
    <w:p>
      <w:pPr>
        <w:spacing w:after="0" w:line="328" w:lineRule="exact"/>
        <w:rPr>
          <w:sz w:val="20"/>
          <w:szCs w:val="20"/>
          <w:color w:val="auto"/>
        </w:rPr>
      </w:pPr>
    </w:p>
    <w:p>
      <w:pPr>
        <w:ind w:left="120" w:right="5840" w:hanging="4"/>
        <w:spacing w:after="0" w:line="378" w:lineRule="auto"/>
        <w:tabs>
          <w:tab w:leader="none" w:pos="55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2019, included in its Annual Report on Form 10-K that was filed with the Securities and Exchange Commission on March 12, 2020. The Company’s reporting currency is the U.S. Dollar (“USD$”).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adjustments in the Company’s allowance for doubtful accounts. The calculation of the allowance required judgment by Company management. As of September 30, 2020, the Company’s accounts receivable of $0.1 million, is net of an allowance for doubtful accounts of $0.4 million and is the result of revenue from product sales. As of December 31, 2019, the Company’s accounts receivable of $0.2 million, is net of an allowance for doubtful accounts of $0.2 million and is the result of revenue from product sales.</w:t>
      </w:r>
    </w:p>
    <w:p>
      <w:pPr>
        <w:spacing w:after="0" w:line="180" w:lineRule="exact"/>
        <w:rPr>
          <w:sz w:val="20"/>
          <w:szCs w:val="20"/>
          <w:color w:val="auto"/>
        </w:rPr>
      </w:pPr>
    </w:p>
    <w:p>
      <w:pPr>
        <w:jc w:val="both"/>
        <w:ind w:left="120" w:right="760"/>
        <w:spacing w:after="0" w:line="266" w:lineRule="auto"/>
        <w:rPr>
          <w:sz w:val="20"/>
          <w:szCs w:val="20"/>
          <w:color w:val="auto"/>
        </w:rPr>
      </w:pPr>
      <w:r>
        <w:rPr>
          <w:rFonts w:ascii="Times New Roman" w:cs="Times New Roman" w:eastAsia="Times New Roman" w:hAnsi="Times New Roman"/>
          <w:sz w:val="18"/>
          <w:szCs w:val="18"/>
          <w:color w:val="auto"/>
        </w:rPr>
        <w:t>Other receivables as of September 30, 2020 and December 31, 2019 included refunds from research and development (“R&amp;D”) tax credits of $21 thousand and $0.2 million, respectively, and Goods and Services Tax (“GST”) and Quebec Sales Tax (“QST”) refunds of $0.1 million and $0.1 million, respectively, related to the Company’s Canadian expenditures.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$2 thousand was recorded during the nine months ended September 30, 2020. No inventory markdowns to net realizable value were recorded during the nine months ended September 30, 2019.</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2020 and December 31, 2019, inventory consisted of the following (amounts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3"/>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4640" w:type="dxa"/>
            <w:vAlign w:val="bottom"/>
          </w:tcPr>
          <w:p>
            <w:pPr>
              <w:spacing w:after="0"/>
              <w:rPr>
                <w:sz w:val="15"/>
                <w:szCs w:val="15"/>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26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inventory, net of reserve</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w:t>
            </w:r>
          </w:p>
        </w:tc>
        <w:tc>
          <w:tcPr>
            <w:tcW w:w="2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2020 and December 31, 2019, property and equipment consisted of the following (amounts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2"/>
          </w:tcPr>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4640" w:type="dxa"/>
            <w:vAlign w:val="bottom"/>
          </w:tcPr>
          <w:p>
            <w:pPr>
              <w:spacing w:after="0"/>
              <w:rPr>
                <w:sz w:val="15"/>
                <w:szCs w:val="15"/>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8"/>
                <w:szCs w:val="18"/>
                <w:color w:val="auto"/>
              </w:rPr>
            </w:pPr>
          </w:p>
        </w:tc>
        <w:tc>
          <w:tcPr>
            <w:tcW w:w="22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260" w:type="dxa"/>
            <w:vAlign w:val="bottom"/>
          </w:tcPr>
          <w:p>
            <w:pPr>
              <w:spacing w:after="0"/>
              <w:rPr>
                <w:sz w:val="18"/>
                <w:szCs w:val="18"/>
                <w:color w:val="auto"/>
              </w:rPr>
            </w:pPr>
          </w:p>
        </w:tc>
        <w:tc>
          <w:tcPr>
            <w:tcW w:w="22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4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639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897</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220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4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0" w:type="dxa"/>
            <w:vAlign w:val="bottom"/>
            <w:gridSpan w:val="2"/>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463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712</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$92 thousand and $89 thousand for the nine months ended September 30, 2020 and 2019, respectively.</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sold furniture and fixtures with a net book value of $118 thousand for $61 thousand. Additionally, the Company abandoned leasehold improvements with a net book value of $53 thousand. The loss on the disposal of the furniture and fixtures and leasehold improvements of $110 thousand was recorded as selling, general and administrative expense in the condensed consolidated statements of operations and comprehensive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Transactions in which the Company obtains control of a business are accounted for according to the acquisition method as described in FASB ASC 805</w:t>
      </w:r>
    </w:p>
    <w:p>
      <w:pPr>
        <w:spacing w:after="0" w:line="3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8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transferred to HTC, which included (1) cash of CAD$0.5 million (USD$0.4 million), (2) delivery of 55 PoNS devices for which the fair value was determined to be CAD$0.5 million (USD$0.4 million), (3) the forgiveness of CAD$750 thousand (USD$0.5 million) receivable from the September 2018 strategic alliance agreement and (4) the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acquisition related costs were $0.1 million and were accounted for as selling, general and administrative expenses in the consolidated statement of operations and comprehensive loss for the year ended December 31, 2019.</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40"/>
          </w:cols>
          <w:pgMar w:left="320" w:top="455" w:right="5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recognized fair values of identifiable assets acquired and liabilities assumed as of October 30, 2019:</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30, 2019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fair values assigned to identifiable intangible assets assumed were based on management’s estimates and assumptions as of such date and are considered finalized. The Company recorded measurement adjustments of $0.4 million during the nine months ended September 30, 2020, all of which was recorded during the first quarter of 2020. The recorded adjustments related to the recognition of reacquired exclusivity rights.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Acquired intangibles consisted of customer relationships, proprietary technology and reacquired rights. The remaining useful life at acquisition was 1.25 years, 5 years and 3.87 years, respectively, and the acquired intangibles are amortized using the straight-line method.</w:t>
      </w:r>
    </w:p>
    <w:p>
      <w:pPr>
        <w:spacing w:after="0" w:line="162"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Factors considered by the Company in determination of goodwill include synergies, strategic fit and other benefits that do not meet the recognition criteria of acquired identifiable intangible assets. The recognized goodwill of $0.7 million is not expected to be deductible for tax purposes.</w:t>
      </w:r>
    </w:p>
    <w:p>
      <w:pPr>
        <w:spacing w:after="0" w:line="14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fair value of 55 PoNS devices which we agreed to transfer to HTC pursuant to the SPA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condensed consolidated balance sheet. As of September 30, 2020, the control of 11 devices had been transferred resulting in recognition of revenue for these devices. The fair value of the remaining 44 devices is still recorded as deferred revenue on the condensed consolidated balance sheet.</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connection with the SPA, on October 30, 2019, the Company entered into a Clinical Research and Co-Promotion Agreement with HTC (the “Co-Promotion Agreement”), whereby each company will promote the sales of the Company’s PoNS Treatment and HTC’s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ten-year term.</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values underlying net assets acquired in an acquisition. All of the Company’s goodwill as of September 30, 2020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80"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COVID-19 pandemic was a triggering event for testing whether goodwill is impaired. The Company performed quantitative assessments at March 31, 2020, June 30, 2020 and September 30, 2020. As a result of these assessments,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activity for the nine month period ended September 30, 2020 for goodwill:</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Carrying amount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1,242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acquisition fair value allocation adjustment</w:t>
            </w:r>
          </w:p>
        </w:tc>
        <w:tc>
          <w:tcPr>
            <w:tcW w:w="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$0.3 million during the nine months ended September 30, 2020. No amortization expense related to intangible assets was recorded during the nine months ended September 30, 2019.</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including definite-lived intangible assets subject to amortization, for impairment whenever events or changes in circumstances indicate that the carrying value of the asset may not be recoverable. Recoverability is assessed for the carrying value of assets held for use based on a review of undiscounted projected cash flows. Impairment losses, where identified, are measured as the excess of the carrying value of the long-lived asset over its estimated fair value as determined by discounted projected cash flows. During the nine months ended September 30, 2020, the Company incurred an intangible asset impairment loss of $0.2 million related to the customer relationships, all of which was incurred during the first quarter of 2020, which is included in selling, general and administrative expenses in the accompanying condensed consolidated statement of operations and comprehensive loss.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as of September 30, 2020 and December 31, 2019 consist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1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80" w:type="dxa"/>
            <w:vAlign w:val="bottom"/>
            <w:gridSpan w:val="3"/>
            <w:vMerge w:val="continue"/>
          </w:tcPr>
          <w:p>
            <w:pPr>
              <w:spacing w:after="0"/>
              <w:rPr>
                <w:sz w:val="12"/>
                <w:szCs w:val="12"/>
                <w:color w:val="auto"/>
              </w:rPr>
            </w:pPr>
          </w:p>
        </w:tc>
        <w:tc>
          <w:tcPr>
            <w:tcW w:w="12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years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423</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Acquired proprietary software</w:t>
            </w: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5 years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Reacquired rights</w:t>
            </w:r>
          </w:p>
        </w:tc>
        <w:tc>
          <w:tcPr>
            <w:tcW w:w="134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3.87 years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3 years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646</w:t>
            </w:r>
          </w:p>
        </w:tc>
        <w:tc>
          <w:tcPr>
            <w:tcW w:w="46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7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Amortization expense is anticipated to be as follows in future years: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320" w:type="dxa"/>
            <w:vAlign w:val="bottom"/>
            <w:vMerge w:val="restart"/>
          </w:tcPr>
          <w:p>
            <w:pPr>
              <w:spacing w:after="0"/>
              <w:rPr>
                <w:sz w:val="21"/>
                <w:szCs w:val="21"/>
                <w:color w:val="auto"/>
              </w:rPr>
            </w:pPr>
          </w:p>
        </w:tc>
        <w:tc>
          <w:tcPr>
            <w:tcW w:w="26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the Year Ending December 31,</w:t>
            </w: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left w:val="single" w:sz="8" w:color="CCEEFF"/>
            </w:tcBorders>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2020 (remaining 3 months)</w:t>
            </w:r>
          </w:p>
        </w:tc>
        <w:tc>
          <w:tcPr>
            <w:tcW w:w="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60" w:type="dxa"/>
            <w:vAlign w:val="bottom"/>
            <w:tcBorders>
              <w:left w:val="single" w:sz="8" w:color="CCEEFF"/>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tcBorders>
              <w:left w:val="single" w:sz="8" w:color="CCEEFF"/>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579</w:t>
            </w:r>
          </w:p>
        </w:tc>
        <w:tc>
          <w:tcPr>
            <w:tcW w:w="460" w:type="dxa"/>
            <w:vAlign w:val="bottom"/>
            <w:tcBorders>
              <w:left w:val="single" w:sz="8" w:color="CCEEFF"/>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On January 1, 2019, 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on January 1, 2019.</w:t>
      </w:r>
    </w:p>
    <w:p>
      <w:pPr>
        <w:spacing w:after="0" w:line="18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does not record an operating lease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September 30, 2020, the Company has not entered into any additional lease arrangements, but did modify the existing lease arrangement.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(loss) gain.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(loss) gain, as a component of comprehensive loss, within the condensed consolidated statements of operations and comprehensive loss.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185" w:lineRule="exact"/>
        <w:rPr>
          <w:sz w:val="20"/>
          <w:szCs w:val="20"/>
          <w:color w:val="auto"/>
        </w:rPr>
      </w:pPr>
    </w:p>
    <w:p>
      <w:pPr>
        <w:ind w:left="120" w:right="600"/>
        <w:spacing w:after="0" w:line="290" w:lineRule="auto"/>
        <w:rPr>
          <w:sz w:val="20"/>
          <w:szCs w:val="20"/>
          <w:color w:val="auto"/>
        </w:rPr>
      </w:pPr>
      <w:r>
        <w:rPr>
          <w:rFonts w:ascii="Times New Roman" w:cs="Times New Roman" w:eastAsia="Times New Roman" w:hAnsi="Times New Roman"/>
          <w:sz w:val="17"/>
          <w:szCs w:val="17"/>
          <w:color w:val="auto"/>
        </w:rPr>
        <w:t xml:space="preserve">In accordance with ASU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5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FASB’s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8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During the first half of 2019, product sales were derived from the sale of the PoNS device and certain support services including services from the use of the NeuroCatch</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Further, according to the Company’s arrangement with HTC and Heuro, the Company shared 50/50 with Heuro in fees from support services excluding the CAD$600 payment for an assessment using the NeuroCatch device. For the nine months ended September 30, 2019, the Company recorded $1.3 million in product sales, net of $11 thousand for HTC’s portion related to services performed using the NeuroCatch device. As described above, the Company modified its arrangement with HTC on October 30, 2019 and product sales were derived from the sale of the PoNS device alone as the NeuroCatch is sold directly to the neuroplasticity clinics in Canada by HTC. For the nine months ended September 30, 2020, the Company recorded $0.4 million in product sales. As of September 30, 2020, the control of 11 of the 55 PoNS devices included as consideration in the Heuro acquisition had been transferred resulting in revenue of $0.1 million being recognized which is included in the aforementioned $0.4 million in product sales for the nine months ended September 30, 2020. The fair value of the remaining 44 devices is recorded as deferred revenue of $0.3 million on the condensed consolidated balance sheet. The only returns during the nine months ended September 30, 2020 were the result of warranty returns for defective products. These returns were insignificant and any future replacements are expected to be insignificant.</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Fee Revenue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recognized $9 thousand of fee revenue related to engaging new neuroplasticity clinics to provide the PoNS Treatment. During the nine months ended September 30, 2019, the Company recognized $49 thousand of fee revenue associated with the Company’s agreement with HTC and Heuro that entitled the Company to 50% of the franchise fees collected by Heuro from each executed franchise agreement. As of September 30, 2020 and December 31, 2019, the Company had no contract assets or liabilities on its condensed consolidated balance sheets related to the supply agreements with each clinic.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1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did not record any license revenue during the nine months ended September 30, 2019. As described above, the Company modified its arrangement with HTC on October 30, 2019. License revenue will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recognized ratably over the ten-year term as the performance obligation is met in connection with the Co-Promotion Agreement. During the nine months ended September 30, 2020, the Company recognized revenues of $20 thousand in license fees associated with the Co-Promotion Agreement. Revenue not yet recognized of $0.2 million is recorded as deferred revenue on the condensed consolidated balance sheet.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Currently, we do not believe the CARES Act will have a material impact on our accounting for income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allocate resources and in assessing performance. The Company operates and manages its business within one operating and reportable segment.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 Company reports the accompanying condensed consolidated financial statements in the aggregate in one reportable segment.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September 30, 2020 and December 31, 2019,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financial instruments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or financial instruments for which all significant inputs are observable, either directly or indirectly; and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September 30, 2020 and December 31, 2019 and the roll forward of the Company’s derivative financial instruments. The Company’s derivative financial instruments are comprised of warrants which are classified as liabilities.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recurring fair value measurements for derivative financial instruments and stock-based compensation liability within the fair value hierarchy as of September 30, 2020 and December 31, 2019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 2020</w:t>
            </w:r>
          </w:p>
        </w:tc>
        <w:tc>
          <w:tcPr>
            <w:tcW w:w="2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32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3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any levels for any of the periods presented.</w:t>
      </w:r>
    </w:p>
    <w:p>
      <w:pPr>
        <w:spacing w:after="0" w:line="22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nine months ended September 30, 2020 of $0.2 million, all of which was recorded during the first quarter of 2020, and has a remaining net book value of $36 thousand as of September 30,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basic and diluted loss per share for the periods noted below is as follows (amounts in thousands except shares and per share data):</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97"/>
              </w:rPr>
              <w:t>1,119,639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739,115</w:t>
            </w: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net loss per share</w:t>
            </w:r>
          </w:p>
        </w:tc>
        <w:tc>
          <w:tcPr>
            <w:tcW w:w="1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780" w:type="dxa"/>
            <w:vAlign w:val="bottom"/>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basic</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diluted</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97"/>
              </w:rPr>
              <w:t>1,119,639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739,115</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Potential common share issuances: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dilutive shares from equity instruments (treasury stock method)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1,119,639</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739,115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loss per share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(10.36)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have been excluded from the computation of diluted weighted shares outstanding for the periods noted below, as they would have been anti-dilutive due to the Company’s losses for the nine months ended September 30, 2020 and 2019 and because the exercise price of certain of these outstanding securities was greater than the average closing price of the Company’s common stock.</w:t>
      </w:r>
    </w:p>
    <w:p>
      <w:pPr>
        <w:spacing w:after="0" w:line="19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560" w:type="dxa"/>
        <w:tblCellMar>
          <w:top w:w="0" w:type="dxa"/>
          <w:left w:w="0" w:type="dxa"/>
          <w:bottom w:w="0" w:type="dxa"/>
          <w:right w:w="0" w:type="dxa"/>
        </w:tblCellMar>
      </w:tblPr>
      <w:tr>
        <w:trPr>
          <w:trHeight w:val="142"/>
        </w:trPr>
        <w:tc>
          <w:tcPr>
            <w:tcW w:w="8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112,224</w:t>
            </w:r>
          </w:p>
        </w:tc>
        <w:tc>
          <w:tcPr>
            <w:tcW w:w="54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103,693</w:t>
            </w:r>
          </w:p>
        </w:tc>
        <w:tc>
          <w:tcPr>
            <w:tcW w:w="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164</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265,583</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86,960</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337,971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190,653</w:t>
            </w:r>
          </w:p>
        </w:tc>
        <w:tc>
          <w:tcPr>
            <w:tcW w:w="6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requires measurement and recognition of expected credit losses for financial assets held and requires enhanced disclosures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estimates and judgments used in estimating credit losses. In November 2019, the FASB issued ASU 2019-10,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Derivatives and Hedging (Topic 815) and Leases (Topic 842): Effective Dates</w:t>
      </w:r>
      <w:r>
        <w:rPr>
          <w:rFonts w:ascii="Times New Roman" w:cs="Times New Roman" w:eastAsia="Times New Roman" w:hAnsi="Times New Roman"/>
          <w:sz w:val="18"/>
          <w:szCs w:val="18"/>
          <w:color w:val="auto"/>
        </w:rPr>
        <w:t>, which amends the effective date of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business entities that meeting the definition of an SEC filer, excluding entities eligible to be a Smaller Reporting Company (“SRC”) as defined by the SEC, are required to</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7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which adds disclosure requirements to Topic 820 for the range and weighted average of significant unobservable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develop Level 3 fair value measurements. This ASU is effective for interim and annual reporting periods beginning after December 15, 2019. The Company adopted this standard as of January 1, 2020 and the adoption did not have a material impact on the Company’s condensed consolidated financial statements.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November 2018, FASB issued ASU 2018-18, C</w:t>
      </w:r>
      <w:r>
        <w:rPr>
          <w:rFonts w:ascii="Times New Roman" w:cs="Times New Roman" w:eastAsia="Times New Roman" w:hAnsi="Times New Roman"/>
          <w:sz w:val="18"/>
          <w:szCs w:val="18"/>
          <w:i w:val="1"/>
          <w:iCs w:val="1"/>
          <w:color w:val="auto"/>
        </w:rPr>
        <w:t>ollaborative Arrangements (Topic 808): Clarifying the Interaction Between Topic 808 and Topic 606,</w:t>
      </w:r>
      <w:r>
        <w:rPr>
          <w:rFonts w:ascii="Times New Roman" w:cs="Times New Roman" w:eastAsia="Times New Roman" w:hAnsi="Times New Roman"/>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condensed consolidated financial statements.</w:t>
      </w:r>
    </w:p>
    <w:p>
      <w:pPr>
        <w:spacing w:after="0" w:line="330"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AND WARRANTS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No dividends have been declared since inception of the Company through September 30, 2020.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April 13, 2018, the Company issued 61,197 shares of its common stock and warrants to purchase 61,197 shares of the Company’s common stock in an underwritten public offering at a price of $261.45 per share and accompanying warrant. On April 24, 2018, the Company closed on the sale of an additional 9,179 shares of its common stock and warrants to purchase 9,179 shares of the Company’s common stock pursuant to the exercise of the underwriters’ over-allotment option (collectively the “April 2018 Offering”). The Company received net proceeds of $16.3 million from the April 2018 Offering. The fair value of these warrants at issuance was approximately $7.4 million.</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Each warrant issued in connection with the April 2018 Offering entitles the holder to acquire one additional share of common stock at an exercise price of CAD$428.75 per share on or before April 10, 2021. Pursuant to the guidance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September 30, 2020, 2,025 warrants had been exercised, all during 2018, for gross proceeds of CAD$0.9 million.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weighted average assumptions used in estimating the fair value of the warrants issued in the April 2018 Offering using the Black-Scholes option pricing model as of the date of the initial closing of the offering and the date of the closing of the over-allotment option and September 30, 2020.</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286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6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April 24, 2018</w:t>
            </w:r>
          </w:p>
        </w:tc>
        <w:tc>
          <w:tcPr>
            <w:tcW w:w="48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April 13, 2018</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CAD$</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CAD$ 376.60</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CAD$ 344.75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CAD$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600" w:type="dxa"/>
            <w:vAlign w:val="bottom"/>
          </w:tcPr>
          <w:p>
            <w:pPr>
              <w:spacing w:after="0"/>
              <w:rPr>
                <w:sz w:val="18"/>
                <w:szCs w:val="18"/>
                <w:color w:val="auto"/>
              </w:rPr>
            </w:pPr>
          </w:p>
        </w:tc>
        <w:tc>
          <w:tcPr>
            <w:tcW w:w="20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CAD$ 428.75</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CAD$ 428.75</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term</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0.53</w:t>
            </w:r>
          </w:p>
        </w:tc>
        <w:tc>
          <w:tcPr>
            <w:tcW w:w="6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3.00</w:t>
            </w:r>
          </w:p>
        </w:tc>
        <w:tc>
          <w:tcPr>
            <w:tcW w:w="6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107.16%</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64.49%</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64.20%</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0.16%</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w:t>
            </w:r>
          </w:p>
        </w:tc>
        <w:tc>
          <w:tcPr>
            <w:tcW w:w="1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November 22, 2019, the Company issued 137,751 shares of its common stock in an underwritten public offering at a price of $12.25 per share. The Company received net proceeds of $1.1 million.</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For the nine months ended September 30, 2020, under the 2020 ATM, the Company sold and issued 232,526 shares of its common stock with an aggregated market value of $5.0 million at an average price of $21.68 per share and paid Wainwright a sales commission of approximately $181 thousand related to those shares.</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and ASC 815</w:t>
      </w:r>
      <w:r>
        <w:rPr>
          <w:rFonts w:ascii="Times New Roman" w:cs="Times New Roman" w:eastAsia="Times New Roman" w:hAnsi="Times New Roman"/>
          <w:sz w:val="18"/>
          <w:szCs w:val="18"/>
          <w:i w:val="1"/>
          <w:iCs w:val="1"/>
          <w:color w:val="auto"/>
        </w:rPr>
        <w:t xml:space="preserve"> Derivatives and Hedging</w:t>
      </w:r>
      <w:r>
        <w:rPr>
          <w:rFonts w:ascii="Times New Roman" w:cs="Times New Roman" w:eastAsia="Times New Roman" w:hAnsi="Times New Roman"/>
          <w:sz w:val="18"/>
          <w:szCs w:val="18"/>
          <w:color w:val="auto"/>
        </w:rPr>
        <w:t>, the Company has determined that warrants issued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Offering should be classified as equity as the warrants can be settled with unregistered shares. The relative fair value of these warrants at issuance was approximately $0.8 million and was included in additional paid-in capital.</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20, 2020</w:t>
            </w: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92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term</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 years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82.41%</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346"/>
        </w:trPr>
        <w:tc>
          <w:tcPr>
            <w:tcW w:w="2560" w:type="dxa"/>
            <w:vAlign w:val="bottom"/>
          </w:tcPr>
          <w:p>
            <w:pPr>
              <w:spacing w:after="0"/>
              <w:rPr>
                <w:sz w:val="24"/>
                <w:szCs w:val="24"/>
                <w:color w:val="auto"/>
              </w:rPr>
            </w:pPr>
          </w:p>
        </w:tc>
        <w:tc>
          <w:tcPr>
            <w:tcW w:w="39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F-55</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warrants accounted for as liabilities and recorded as derivative financial instruments on the Company’s condensed consolidated balance sheets for the nine months ended September 30, 2020 and 2019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warrants at beginning of period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during the period</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warrants at end of period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fair value of all warrants classified as derivative financial instruments outstanding as of September 30, 2020 and December 31, 2019 were estimated using the Black-Scholes option pricing model with the following weighted average assumptions: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24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CAD$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CAD$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7"/>
              </w:rPr>
              <w:t>CAD$</w:t>
            </w:r>
          </w:p>
        </w:tc>
        <w:tc>
          <w:tcPr>
            <w:tcW w:w="17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428.75</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7"/>
              </w:rPr>
              <w:t>CAD$</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428.75</w:t>
            </w:r>
          </w:p>
        </w:tc>
      </w:tr>
      <w:tr>
        <w:trPr>
          <w:trHeight w:val="198"/>
        </w:trPr>
        <w:tc>
          <w:tcPr>
            <w:tcW w:w="4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term</w:t>
            </w:r>
          </w:p>
        </w:tc>
        <w:tc>
          <w:tcPr>
            <w:tcW w:w="4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240"/>
              <w:spacing w:after="0" w:line="198" w:lineRule="exact"/>
              <w:rPr>
                <w:sz w:val="20"/>
                <w:szCs w:val="20"/>
                <w:color w:val="auto"/>
              </w:rPr>
            </w:pPr>
            <w:r>
              <w:rPr>
                <w:rFonts w:ascii="Times New Roman" w:cs="Times New Roman" w:eastAsia="Times New Roman" w:hAnsi="Times New Roman"/>
                <w:sz w:val="18"/>
                <w:szCs w:val="18"/>
                <w:color w:val="auto"/>
              </w:rPr>
              <w:t>0.53</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1.28</w:t>
            </w:r>
          </w:p>
        </w:tc>
      </w:tr>
      <w:tr>
        <w:trPr>
          <w:trHeight w:val="234"/>
        </w:trPr>
        <w:tc>
          <w:tcPr>
            <w:tcW w:w="4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80" w:type="dxa"/>
            <w:vAlign w:val="bottom"/>
          </w:tcPr>
          <w:p>
            <w:pPr>
              <w:spacing w:after="0"/>
              <w:rPr>
                <w:sz w:val="18"/>
                <w:szCs w:val="18"/>
                <w:color w:val="auto"/>
              </w:rPr>
            </w:pPr>
          </w:p>
        </w:tc>
        <w:tc>
          <w:tcPr>
            <w:tcW w:w="1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107.16%</w:t>
            </w:r>
          </w:p>
        </w:tc>
        <w:tc>
          <w:tcPr>
            <w:tcW w:w="4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80" w:type="dxa"/>
            <w:vAlign w:val="bottom"/>
          </w:tcPr>
          <w:p>
            <w:pPr>
              <w:spacing w:after="0"/>
              <w:rPr>
                <w:sz w:val="20"/>
                <w:szCs w:val="20"/>
                <w:color w:val="auto"/>
              </w:rPr>
            </w:pPr>
          </w:p>
        </w:tc>
        <w:tc>
          <w:tcPr>
            <w:tcW w:w="1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Company’s warrant activity during the nine months ended September 30,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4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5"/>
                <w:szCs w:val="15"/>
                <w:color w:val="auto"/>
              </w:rPr>
            </w:pPr>
          </w:p>
        </w:tc>
        <w:tc>
          <w:tcPr>
            <w:tcW w:w="14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42"/>
        </w:trPr>
        <w:tc>
          <w:tcPr>
            <w:tcW w:w="4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CAD</w:t>
            </w:r>
          </w:p>
        </w:tc>
        <w:tc>
          <w:tcPr>
            <w:tcW w:w="68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CAD$</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3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2"/>
              </w:rPr>
              <w:t>68,351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$ 428.75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$ 428.40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8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178,776</w:t>
            </w: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Cancelled/Expired</w:t>
            </w:r>
          </w:p>
        </w:tc>
        <w:tc>
          <w:tcPr>
            <w:tcW w:w="3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376.25</w:t>
            </w: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800" w:type="dxa"/>
            <w:vAlign w:val="bottom"/>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2020</w:t>
            </w:r>
          </w:p>
        </w:tc>
        <w:tc>
          <w:tcPr>
            <w:tcW w:w="3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68,351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197,232</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$ 428.75</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54.71</w:t>
            </w:r>
          </w:p>
        </w:tc>
      </w:tr>
      <w:tr>
        <w:trPr>
          <w:trHeight w:val="20"/>
        </w:trPr>
        <w:tc>
          <w:tcPr>
            <w:tcW w:w="4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120" w:type="dxa"/>
            <w:vAlign w:val="bottom"/>
          </w:tcPr>
          <w:p>
            <w:pPr>
              <w:spacing w:after="0"/>
              <w:rPr>
                <w:sz w:val="24"/>
                <w:szCs w:val="24"/>
                <w:color w:val="auto"/>
              </w:rPr>
            </w:pPr>
          </w:p>
        </w:tc>
        <w:tc>
          <w:tcPr>
            <w:tcW w:w="45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F-56</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warrants outstanding and exercisable as of September 30, 2020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 Outstanding</w:t>
            </w:r>
          </w:p>
        </w:tc>
        <w:tc>
          <w:tcPr>
            <w:tcW w:w="1160" w:type="dxa"/>
            <w:vAlign w:val="bottom"/>
          </w:tcPr>
          <w:p>
            <w:pPr>
              <w:spacing w:after="0"/>
              <w:rPr>
                <w:sz w:val="16"/>
                <w:szCs w:val="16"/>
                <w:color w:val="auto"/>
              </w:rPr>
            </w:pP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7,740</w:t>
            </w:r>
          </w:p>
        </w:tc>
        <w:tc>
          <w:tcPr>
            <w:tcW w:w="1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USD$428.75</w:t>
            </w:r>
          </w:p>
        </w:tc>
        <w:tc>
          <w:tcPr>
            <w:tcW w:w="116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December 22,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16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USD$428.75</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USD$428.75</w:t>
            </w: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29, 2020</w:t>
            </w:r>
          </w:p>
        </w:tc>
      </w:tr>
      <w:tr>
        <w:trPr>
          <w:trHeight w:val="216"/>
        </w:trPr>
        <w:tc>
          <w:tcPr>
            <w:tcW w:w="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68,351</w:t>
            </w:r>
          </w:p>
        </w:tc>
        <w:tc>
          <w:tcPr>
            <w:tcW w:w="116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CAD$428.75</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10, 2021</w:t>
            </w:r>
          </w:p>
        </w:tc>
      </w:tr>
      <w:tr>
        <w:trPr>
          <w:trHeight w:val="216"/>
        </w:trPr>
        <w:tc>
          <w:tcPr>
            <w:tcW w:w="20" w:type="dxa"/>
            <w:vAlign w:val="bottom"/>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178,776</w:t>
            </w:r>
          </w:p>
        </w:tc>
        <w:tc>
          <w:tcPr>
            <w:tcW w:w="1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USD$16.10</w:t>
            </w: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3"/>
        </w:trPr>
        <w:tc>
          <w:tcPr>
            <w:tcW w:w="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265,583</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PAYMENTS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may be issued. This share reserve is the sum of 85,714 new shares, plus the 67,317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2020, there was an aggregate of 96,798 shares of common stock remaining available for grant under the Company’s 2018 Plan.</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the Company issued 23,112 stock options to employees and directors. The Company issued no stock options to consultants during the nine months ended September 30,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during the nine months ended September 30, 2020:</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99,018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236.63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(9,906)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(198.03)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194.68</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September 30, 2020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69,995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2020, the unrecognized compensation cost related to non-vested stock options outstanding for employees and directors, was</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$4.1 million which will be recognized over a weighted-average remaining vesting period of approximately 2.8 years. Compensation cost is not adjusted for estimated forfeitures, but instead is adjusted upon an actual forfeiture of a stock option.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employee and director stock options granted for the nine months ended September 30, 2020 was $10.50 per option and the grant date fair values of these stock options were estimated using the Black-Scholes option pricing model using the following weighted average assumptions: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04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 years</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77.35%</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0.58%</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September 30, 2020, the unrecognized compensation cost related to non-vested stock options outstanding for non-employees was $15 thousand which will be recognized over a weighted-average remaining vesting period of approximately 0.9 years. Compensation cost is not adjusted for estimated forfeitures, but instead is adjusted upon an actual forfeiture of a stock 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Beginning in the fourth quarter of 2019, certain members of the Company’s executive management team elected to receive restricted stock awards in lieu of cash compensation under the 2018 Plan that vest upon issuance. The fair value of the restricted stock awards is based on the closing price of the Company’s common stock on the day of the grant.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Company’s restricted stock award activity for the nine months ended September 30, 2020:</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1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54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1980" w:type="dxa"/>
            <w:vAlign w:val="bottom"/>
            <w:gridSpan w:val="3"/>
          </w:tcPr>
          <w:p>
            <w:pPr>
              <w:jc w:val="center"/>
              <w:ind w:left="39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4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2019</w:t>
            </w:r>
          </w:p>
        </w:tc>
        <w:tc>
          <w:tcPr>
            <w:tcW w:w="1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USD$21.17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5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31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(6,831)</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2020</w:t>
            </w:r>
          </w:p>
        </w:tc>
        <w:tc>
          <w:tcPr>
            <w:tcW w:w="1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in the Company’s condensed consolidated statements of operations and comprehensive loss as follows (amounts in thousands):</w:t>
      </w:r>
    </w:p>
    <w:p>
      <w:pPr>
        <w:spacing w:after="0" w:line="18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560" w:type="dxa"/>
        <w:tblCellMar>
          <w:top w:w="0" w:type="dxa"/>
          <w:left w:w="0" w:type="dxa"/>
          <w:bottom w:w="0" w:type="dxa"/>
          <w:right w:w="0" w:type="dxa"/>
        </w:tblCellMar>
      </w:tblP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5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1,295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2,693</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2,021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3,336</w:t>
            </w:r>
          </w:p>
        </w:tc>
        <w:tc>
          <w:tcPr>
            <w:tcW w:w="4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nine months ended September 30, 2020 includes the reversal of $125 thousand of expense as a result of forfeitures due to the departure of our former chief executive officer in August 2020.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 (amounts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96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40" w:type="dxa"/>
            <w:vAlign w:val="bottom"/>
          </w:tcPr>
          <w:p>
            <w:pPr>
              <w:spacing w:after="0"/>
              <w:rPr>
                <w:sz w:val="12"/>
                <w:szCs w:val="12"/>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Royalty fees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w:t>
            </w:r>
          </w:p>
        </w:tc>
        <w:tc>
          <w:tcPr>
            <w:tcW w:w="4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Accrued severance expenses as of September 30, 2020 included $0.5 million in severance costs related to the departure of our former chief executive officer in August 2020.</w:t>
      </w:r>
    </w:p>
    <w:p>
      <w:pPr>
        <w:spacing w:after="0" w:line="306"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left="54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2013, the Company entered into a license agreement with Advanced NeuroRehabilitation, LLC (“ANR”) for an exclusive right to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nine months ended September 30, 2020, the Company recorded approximately $15 thousand in royalty expenses in its condensed consolidated statement of operations and comprehensive loss. For the nine months ended September 30, 2019, the Company recorded approximately $52 thousand in royalty expenses in its condensed consolidated statement of operations and comprehensive loss.</w:t>
      </w:r>
    </w:p>
    <w:p>
      <w:pPr>
        <w:spacing w:after="0" w:line="94"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93"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 per month beginning in January 2018 with a 3% annual increase.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is recorded as a component of other income in the condensed consolidated statement of operations and comprehensive loss for the nine months ended September 30, 2020.</w:t>
      </w:r>
    </w:p>
    <w:p>
      <w:pPr>
        <w:spacing w:after="0" w:line="84"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The initial lease term of the Lease Amendment is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operating lease information including future minimum lease payments under a non-cancellable lease as of September 30, 2020 (amounts in thousands).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227"/>
        </w:trPr>
        <w:tc>
          <w:tcPr>
            <w:tcW w:w="37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2020</w:t>
            </w:r>
          </w:p>
        </w:tc>
        <w:tc>
          <w:tcPr>
            <w:tcW w:w="29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operating cash flows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1.75 years</w:t>
            </w:r>
          </w:p>
        </w:tc>
      </w:tr>
      <w:tr>
        <w:trPr>
          <w:trHeight w:val="216"/>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30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September 30,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2020 were as follows: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6"/>
        </w:trPr>
        <w:tc>
          <w:tcPr>
            <w:tcW w:w="2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For the Period Ending December 31,</w:t>
            </w:r>
          </w:p>
        </w:tc>
        <w:tc>
          <w:tcPr>
            <w:tcW w:w="37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2020 (remaining three months)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future minimum lease payments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1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154</w:t>
            </w:r>
          </w:p>
        </w:tc>
      </w:tr>
      <w:tr>
        <w:trPr>
          <w:trHeight w:val="20"/>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320" w:top="455" w:right="459" w:bottom="1440" w:gutter="0" w:footer="0" w:header="0"/>
        </w:sectPr>
      </w:pPr>
    </w:p>
    <w:p>
      <w:pPr>
        <w:ind w:left="1440"/>
        <w:spacing w:after="0"/>
        <w:rPr>
          <w:sz w:val="20"/>
          <w:szCs w:val="20"/>
          <w:color w:val="auto"/>
        </w:rPr>
      </w:pPr>
      <w:r>
        <w:rPr>
          <w:rFonts w:ascii="Times New Roman" w:cs="Times New Roman" w:eastAsia="Times New Roman" w:hAnsi="Times New Roman"/>
          <w:sz w:val="17"/>
          <w:szCs w:val="17"/>
          <w:b w:val="1"/>
          <w:bCs w:val="1"/>
          <w:color w:val="auto"/>
        </w:rPr>
        <w:t>Reported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21590</wp:posOffset>
            </wp:positionV>
            <wp:extent cx="531495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Current operating lease liability</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Non-current operating lease liability</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-116840</wp:posOffset>
            </wp:positionV>
            <wp:extent cx="531495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107</w:t>
      </w:r>
    </w:p>
    <w:p>
      <w:pPr>
        <w:spacing w:after="0" w:line="27"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14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580" w:hanging="571"/>
        <w:spacing w:after="0"/>
        <w:tabs>
          <w:tab w:leader="none" w:pos="58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5314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5314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360"/>
          </w:cols>
          <w:pgMar w:left="320" w:top="455" w:right="459" w:bottom="1440" w:gutter="0" w:footer="0" w:header="0"/>
          <w:type w:val="continuous"/>
        </w:sectPr>
      </w:pPr>
    </w:p>
    <w:p>
      <w:pPr>
        <w:ind w:left="540" w:hanging="424"/>
        <w:spacing w:after="0" w:line="254"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 Tronic for a second three year term from December 29, 2020 until December 31, 2023. As of September 30, 2020, the Company did not have any outstanding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type w:val="continuous"/>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commitments to Key Tronic to complete the Company’s forecasts for the procurement of materials necessary for the delivery of PoNS devices.</w:t>
      </w:r>
    </w:p>
    <w:p>
      <w:pPr>
        <w:spacing w:after="0" w:line="131" w:lineRule="exact"/>
        <w:rPr>
          <w:sz w:val="20"/>
          <w:szCs w:val="20"/>
          <w:color w:val="auto"/>
        </w:rPr>
      </w:pPr>
    </w:p>
    <w:p>
      <w:pPr>
        <w:ind w:left="540" w:right="100" w:hanging="424"/>
        <w:spacing w:after="0" w:line="258"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granted a $323 thousand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publicly traded companies may not be eligible for a PPP loan, the Company returned the PPP Loan proceeds in May 2020 and paid interest for the period of time the loan was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Caramahai v. Helius Medical Technologies, Inc. et al.</w:t>
      </w:r>
    </w:p>
    <w:p>
      <w:pPr>
        <w:spacing w:after="0" w:line="117"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 xml:space="preserve">On or about July 9, 2019, a putative shareholder class action lawsuit, </w:t>
      </w:r>
      <w:r>
        <w:rPr>
          <w:rFonts w:ascii="Times New Roman" w:cs="Times New Roman" w:eastAsia="Times New Roman" w:hAnsi="Times New Roman"/>
          <w:sz w:val="18"/>
          <w:szCs w:val="18"/>
          <w:i w:val="1"/>
          <w:iCs w:val="1"/>
          <w:color w:val="auto"/>
        </w:rPr>
        <w:t>Caramahai v. Helius Medical Technologies, Inc. et al.</w:t>
      </w:r>
      <w:r>
        <w:rPr>
          <w:rFonts w:ascii="Times New Roman" w:cs="Times New Roman" w:eastAsia="Times New Roman" w:hAnsi="Times New Roman"/>
          <w:sz w:val="18"/>
          <w:szCs w:val="18"/>
          <w:color w:val="auto"/>
        </w:rPr>
        <w:t xml:space="preserve">, Case No. 1:19-cv-06365 (S.D.N.Y.), was filed against the Company and three of its individual officers in the Southern District of New York (“the </w:t>
      </w:r>
      <w:r>
        <w:rPr>
          <w:rFonts w:ascii="Times New Roman" w:cs="Times New Roman" w:eastAsia="Times New Roman" w:hAnsi="Times New Roman"/>
          <w:sz w:val="18"/>
          <w:szCs w:val="18"/>
          <w:i w:val="1"/>
          <w:iCs w:val="1"/>
          <w:color w:val="auto"/>
        </w:rPr>
        <w:t>Caramahai</w:t>
      </w:r>
      <w:r>
        <w:rPr>
          <w:rFonts w:ascii="Times New Roman" w:cs="Times New Roman" w:eastAsia="Times New Roman" w:hAnsi="Times New Roman"/>
          <w:sz w:val="18"/>
          <w:szCs w:val="18"/>
          <w:color w:val="auto"/>
        </w:rPr>
        <w:t xml:space="preserve"> Action”). The lawsuit alleges that the Company made materially false and misleading statements regarding the prospects for FDA approval of Helius’ application for de novo classification and clearance of its PoNS device in the United States. As a result of these alleged misstatements, the </w:t>
      </w:r>
      <w:r>
        <w:rPr>
          <w:rFonts w:ascii="Times New Roman" w:cs="Times New Roman" w:eastAsia="Times New Roman" w:hAnsi="Times New Roman"/>
          <w:sz w:val="18"/>
          <w:szCs w:val="18"/>
          <w:i w:val="1"/>
          <w:iCs w:val="1"/>
          <w:color w:val="auto"/>
        </w:rPr>
        <w:t>Caramahai</w:t>
      </w:r>
      <w:r>
        <w:rPr>
          <w:rFonts w:ascii="Times New Roman" w:cs="Times New Roman" w:eastAsia="Times New Roman" w:hAnsi="Times New Roman"/>
          <w:sz w:val="18"/>
          <w:szCs w:val="18"/>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182" w:lineRule="exact"/>
        <w:rPr>
          <w:sz w:val="20"/>
          <w:szCs w:val="20"/>
          <w:color w:val="auto"/>
        </w:rPr>
      </w:pPr>
    </w:p>
    <w:p>
      <w:pPr>
        <w:ind w:left="120" w:right="320"/>
        <w:spacing w:after="0" w:line="267" w:lineRule="auto"/>
        <w:rPr>
          <w:sz w:val="20"/>
          <w:szCs w:val="20"/>
          <w:color w:val="auto"/>
        </w:rPr>
      </w:pPr>
      <w:r>
        <w:rPr>
          <w:rFonts w:ascii="Times New Roman" w:cs="Times New Roman" w:eastAsia="Times New Roman" w:hAnsi="Times New Roman"/>
          <w:sz w:val="18"/>
          <w:szCs w:val="18"/>
          <w:color w:val="auto"/>
        </w:rPr>
        <w:t xml:space="preserve">On or about July 31, 2019, a putative shareholder class action lawsuit, </w:t>
      </w:r>
      <w:r>
        <w:rPr>
          <w:rFonts w:ascii="Times New Roman" w:cs="Times New Roman" w:eastAsia="Times New Roman" w:hAnsi="Times New Roman"/>
          <w:sz w:val="18"/>
          <w:szCs w:val="18"/>
          <w:i w:val="1"/>
          <w:iCs w:val="1"/>
          <w:color w:val="auto"/>
        </w:rPr>
        <w:t>Evans v. Helius Medical Technologies, Inc. et al.</w:t>
      </w:r>
      <w:r>
        <w:rPr>
          <w:rFonts w:ascii="Times New Roman" w:cs="Times New Roman" w:eastAsia="Times New Roman" w:hAnsi="Times New Roman"/>
          <w:sz w:val="18"/>
          <w:szCs w:val="18"/>
          <w:color w:val="auto"/>
        </w:rPr>
        <w:t>, Case No. 1:19-cv-07171 (S.D.N.Y.), was filed against the Company and three of its individual officers in the Southern District of New York (the “</w:t>
      </w:r>
      <w:r>
        <w:rPr>
          <w:rFonts w:ascii="Times New Roman" w:cs="Times New Roman" w:eastAsia="Times New Roman" w:hAnsi="Times New Roman"/>
          <w:sz w:val="18"/>
          <w:szCs w:val="18"/>
          <w:i w:val="1"/>
          <w:iCs w:val="1"/>
          <w:color w:val="auto"/>
        </w:rPr>
        <w:t>Evans</w:t>
      </w:r>
      <w:r>
        <w:rPr>
          <w:rFonts w:ascii="Times New Roman" w:cs="Times New Roman" w:eastAsia="Times New Roman" w:hAnsi="Times New Roman"/>
          <w:sz w:val="18"/>
          <w:szCs w:val="18"/>
          <w:color w:val="auto"/>
        </w:rPr>
        <w:t xml:space="preserve"> Action”). The </w:t>
      </w:r>
      <w:r>
        <w:rPr>
          <w:rFonts w:ascii="Times New Roman" w:cs="Times New Roman" w:eastAsia="Times New Roman" w:hAnsi="Times New Roman"/>
          <w:sz w:val="18"/>
          <w:szCs w:val="18"/>
          <w:i w:val="1"/>
          <w:iCs w:val="1"/>
          <w:color w:val="auto"/>
        </w:rPr>
        <w:t>Evans</w:t>
      </w:r>
      <w:r>
        <w:rPr>
          <w:rFonts w:ascii="Times New Roman" w:cs="Times New Roman" w:eastAsia="Times New Roman" w:hAnsi="Times New Roman"/>
          <w:sz w:val="18"/>
          <w:szCs w:val="18"/>
          <w:color w:val="auto"/>
        </w:rPr>
        <w:t xml:space="preserve"> Action alleges similar claims as the </w:t>
      </w:r>
      <w:r>
        <w:rPr>
          <w:rFonts w:ascii="Times New Roman" w:cs="Times New Roman" w:eastAsia="Times New Roman" w:hAnsi="Times New Roman"/>
          <w:sz w:val="18"/>
          <w:szCs w:val="18"/>
          <w:i w:val="1"/>
          <w:iCs w:val="1"/>
          <w:color w:val="auto"/>
        </w:rPr>
        <w:t>Caramahai</w:t>
      </w:r>
      <w:r>
        <w:rPr>
          <w:rFonts w:ascii="Times New Roman" w:cs="Times New Roman" w:eastAsia="Times New Roman" w:hAnsi="Times New Roman"/>
          <w:sz w:val="18"/>
          <w:szCs w:val="18"/>
          <w:color w:val="auto"/>
        </w:rPr>
        <w:t xml:space="preserve"> Action.</w:t>
      </w:r>
    </w:p>
    <w:p>
      <w:pPr>
        <w:spacing w:after="0" w:line="173"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On September 9, 2019, three Helius shareholders each filed motions in the </w:t>
      </w:r>
      <w:r>
        <w:rPr>
          <w:rFonts w:ascii="Times New Roman" w:cs="Times New Roman" w:eastAsia="Times New Roman" w:hAnsi="Times New Roman"/>
          <w:sz w:val="18"/>
          <w:szCs w:val="18"/>
          <w:i w:val="1"/>
          <w:iCs w:val="1"/>
          <w:color w:val="auto"/>
        </w:rPr>
        <w:t>Caramahai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Evans</w:t>
      </w:r>
      <w:r>
        <w:rPr>
          <w:rFonts w:ascii="Times New Roman" w:cs="Times New Roman" w:eastAsia="Times New Roman" w:hAnsi="Times New Roman"/>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18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the plaintiffs voluntarily dismissed the lawsuit without prejudice, ending the case. The U.S. District Judge signed the final order dismissing the litigation on July 1, 2020.</w:t>
      </w:r>
    </w:p>
    <w:p>
      <w:pPr>
        <w:spacing w:after="0" w:line="306"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paid approximately $5 thousand in consulting fees to a director of the Company. During the nine months ended September 30, 2019, the Company paid approximately $25 thousand in consulting fees to a director of the Company. As of September 30, 2020, the Company did not have an accrued liability for consulting fees to a director of the Company.</w:t>
      </w:r>
    </w:p>
    <w:p>
      <w:pPr>
        <w:spacing w:after="0" w:line="320"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On October 26, 2020, the Company closed on a private placement of an aggregate of 187,646 shares of common stock and warrants to purchase an aggregate of 93,817 shares of common stock at a purchase price of $18.20 per unit, consisting of one share and a warrant to purchase 0.50 shares of common stock, resulting in gross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proceeds of approximately $3.4 million, excluding the proceeds, if any, that the Company may receive in the future from the exercise of the warrants. The Company incurred $0.2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private placement on the same terms and conditions as all other purchasers, except that they paid $18.354 per unit and their warrants have an exercise price of $16.1665 per share.</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for the private placement, if the Company issues any shares of common stock or common stock equivalents for cash consideration, indebtedness or a combination thereof, with certain exceptions, within twelve months of the closing of the private placement, each purchaser who subscribed for at least $250,000 has the right to participate in up to such purchaser’s pro rata portion of 30% of the such subsequent financing on the same terms, conditions and price provided for in the subsequent financing.</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total stockholders’ equity as reported as of September 30, 2020 and as adjusted on a pro forma basis to reflect the recently completed private placement (amounts in thousands):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as of September 30, 2020</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October 2020 private placement</w:t>
            </w:r>
          </w:p>
        </w:tc>
        <w:tc>
          <w:tcPr>
            <w:tcW w:w="1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total stockholders’ equity as of September 30, 2020</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6,441</w:t>
            </w:r>
          </w:p>
        </w:tc>
      </w:tr>
      <w:tr>
        <w:trPr>
          <w:trHeight w:val="20"/>
        </w:trPr>
        <w:tc>
          <w:tcPr>
            <w:tcW w:w="6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Delisting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December 4, 2020, the Company received notice from the Listing Qualifications staff of Nasdaq indicating that the Company was not eligible for an additional 180 day extension to meet the Minimum Bid Price Requirement. As a result, the Staff determined that the Company’s securities would be subject to delisting unless the Company timely requests a hearing before the Panel. The Company timely submitted a request for a hearing before the Panel, which request stayed any suspension or delisting action by Nasdaq at least until the hearing process concludes and any extension granted by the Panel expires. On January 15, 2021, the Company received notice from the Staff that the bid price deficiency of the Company had been cured, and that the Company was in compliance with all applicable listing standards, and so the scheduled hearing before the Panel was cancelled.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80"/>
          </w:cols>
          <w:pgMar w:left="320" w:top="455" w:right="49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647,772 Units consisting of shares of Class A common stock and warrants (and shares of Class A common stock underlying such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2359025</wp:posOffset>
            </wp:positionV>
            <wp:extent cx="1474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344170</wp:posOffset>
            </wp:positionV>
            <wp:extent cx="1482725" cy="7626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8272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i w:val="1"/>
          <w:iCs w:val="1"/>
          <w:color w:val="auto"/>
        </w:rPr>
        <w:t>Sole Book-Running Manager</w:t>
      </w: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9"/>
          <w:szCs w:val="29"/>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1278255</wp:posOffset>
            </wp:positionV>
            <wp:extent cx="1474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491490</wp:posOffset>
            </wp:positionV>
            <wp:extent cx="699516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920"/>
      </w:cols>
      <w:pgMar w:left="320" w:top="45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1)"/>
      <w:numFmt w:val="lowerLetter"/>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lowerRoman"/>
      <w:start w:val="3"/>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1)"/>
      <w:numFmt w:val="lowerRoman"/>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lowerRoman"/>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4"/>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3"/>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2"/>
    </w:lvl>
  </w:abstractNum>
  <w:abstractNum w:abstractNumId="61">
    <w:nsid w:val="42963E5A"/>
    <w:multiLevelType w:val="hybridMultilevel"/>
    <w:lvl w:ilvl="0">
      <w:lvlJc w:val="left"/>
      <w:lvlText w:val="\endash "/>
      <w:numFmt w:val="bullet"/>
      <w:start w:val="1"/>
    </w:lvl>
  </w:abstractNum>
  <w:abstractNum w:abstractNumId="62">
    <w:nsid w:val="A0382C5"/>
    <w:multiLevelType w:val="hybridMultilevel"/>
    <w:lvl w:ilvl="0">
      <w:lvlJc w:val="left"/>
      <w:lvlText w:val="(%1)"/>
      <w:numFmt w:val="lowerRoman"/>
      <w:start w:val="1"/>
    </w:lvl>
  </w:abstractNum>
  <w:abstractNum w:abstractNumId="63">
    <w:nsid w:val="8F2B15E"/>
    <w:multiLevelType w:val="hybridMultilevel"/>
    <w:lvl w:ilvl="0">
      <w:lvlJc w:val="left"/>
      <w:lvlText w:val="%1."/>
      <w:numFmt w:val="decimal"/>
      <w:start w:val="3"/>
    </w:lvl>
  </w:abstractNum>
  <w:abstractNum w:abstractNumId="64">
    <w:nsid w:val="1A32234B"/>
    <w:multiLevelType w:val="hybridMultilevel"/>
    <w:lvl w:ilvl="0">
      <w:lvlJc w:val="left"/>
      <w:lvlText w:val="%1."/>
      <w:numFmt w:val="decimal"/>
      <w:start w:val="4"/>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decimal"/>
      <w:start w:val="1"/>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6"/>
    </w:lvl>
  </w:abstractNum>
  <w:abstractNum w:abstractNumId="70">
    <w:nsid w:val="14330624"/>
    <w:multiLevelType w:val="hybridMultilevel"/>
    <w:lvl w:ilvl="0">
      <w:lvlJc w:val="left"/>
      <w:lvlText w:val="(%1)"/>
      <w:numFmt w:val="lowerRoman"/>
      <w:start w:val="2"/>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lowerLetter"/>
      <w:start w:val="5"/>
    </w:lvl>
  </w:abstractNum>
  <w:abstractNum w:abstractNumId="74">
    <w:nsid w:val="100F59DC"/>
    <w:multiLevelType w:val="hybridMultilevel"/>
    <w:lvl w:ilvl="0">
      <w:lvlJc w:val="left"/>
      <w:lvlText w:val="%1."/>
      <w:numFmt w:val="decimal"/>
      <w:start w:val="8"/>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9"/>
    </w:lvl>
  </w:abstractNum>
  <w:abstractNum w:abstractNumId="77">
    <w:nsid w:val="6F6DD9AC"/>
    <w:multiLevelType w:val="hybridMultilevel"/>
    <w:lvl w:ilvl="0">
      <w:lvlJc w:val="left"/>
      <w:lvlText w:val="%1."/>
      <w:numFmt w:val="decimal"/>
      <w:start w:val="10"/>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2"/>
    </w:lvl>
  </w:abstractNum>
  <w:abstractNum w:abstractNumId="80">
    <w:nsid w:val="76272110"/>
    <w:multiLevelType w:val="hybridMultilevel"/>
    <w:lvl w:ilvl="0">
      <w:lvlJc w:val="left"/>
      <w:lvlText w:val="\endash "/>
      <w:numFmt w:val="bullet"/>
      <w:start w:val="1"/>
    </w:lvl>
  </w:abstractNum>
  <w:abstractNum w:abstractNumId="81">
    <w:nsid w:val="4C04A8AF"/>
    <w:multiLevelType w:val="hybridMultilevel"/>
    <w:lvl w:ilvl="0">
      <w:lvlJc w:val="left"/>
      <w:lvlText w:val="(%1)"/>
      <w:numFmt w:val="lowerRoman"/>
      <w:start w:val="1"/>
    </w:lvl>
  </w:abstractNum>
  <w:abstractNum w:abstractNumId="82">
    <w:nsid w:val="1716703B"/>
    <w:multiLevelType w:val="hybridMultilevel"/>
    <w:lvl w:ilvl="0">
      <w:lvlJc w:val="left"/>
      <w:lvlText w:val="(%1)"/>
      <w:numFmt w:val="lowerRoman"/>
      <w:start w:val="4"/>
    </w:lvl>
  </w:abstractNum>
  <w:abstractNum w:abstractNumId="83">
    <w:nsid w:val="14E17E33"/>
    <w:multiLevelType w:val="hybridMultilevel"/>
    <w:lvl w:ilvl="0">
      <w:lvlJc w:val="left"/>
      <w:lvlText w:val="%1."/>
      <w:numFmt w:val="decimal"/>
      <w:start w:val="3"/>
    </w:lvl>
  </w:abstractNum>
  <w:abstractNum w:abstractNumId="84">
    <w:nsid w:val="3222E7CD"/>
    <w:multiLevelType w:val="hybridMultilevel"/>
    <w:lvl w:ilvl="0">
      <w:lvlJc w:val="left"/>
      <w:lvlText w:val="%1."/>
      <w:numFmt w:val="decimal"/>
      <w:start w:val="4"/>
    </w:lvl>
  </w:abstractNum>
  <w:abstractNum w:abstractNumId="85">
    <w:nsid w:val="74DE0EE3"/>
    <w:multiLevelType w:val="hybridMultilevel"/>
    <w:lvl w:ilvl="0">
      <w:lvlJc w:val="left"/>
      <w:lvlText w:val="%1."/>
      <w:numFmt w:val="decimal"/>
      <w:start w:val="5"/>
    </w:lvl>
  </w:abstractNum>
  <w:abstractNum w:abstractNumId="86">
    <w:nsid w:val="68EBC550"/>
    <w:multiLevelType w:val="hybridMultilevel"/>
    <w:lvl w:ilvl="0">
      <w:lvlJc w:val="left"/>
      <w:lvlText w:val="%1."/>
      <w:numFmt w:val="decimal"/>
      <w:start w:val="6"/>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1)"/>
      <w:numFmt w:val="lowerLetter"/>
      <w:start w:val="4"/>
    </w:lvl>
  </w:abstractNum>
  <w:abstractNum w:abstractNumId="90">
    <w:nsid w:val="39EE015C"/>
    <w:multiLevelType w:val="hybridMultilevel"/>
    <w:lvl w:ilvl="0">
      <w:lvlJc w:val="left"/>
      <w:lvlText w:val="(%1)"/>
      <w:numFmt w:val="lowerLetter"/>
      <w:start w:val="5"/>
    </w:lvl>
  </w:abstractNum>
  <w:abstractNum w:abstractNumId="91">
    <w:nsid w:val="57FC4FBB"/>
    <w:multiLevelType w:val="hybridMultilevel"/>
    <w:lvl w:ilvl="0">
      <w:lvlJc w:val="left"/>
      <w:lvlText w:val="%1."/>
      <w:numFmt w:val="decimal"/>
      <w:start w:val="7"/>
    </w:lvl>
  </w:abstractNum>
  <w:abstractNum w:abstractNumId="92">
    <w:nsid w:val="CC1016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2021-01-29T05:34:56Z</dcterms:created>
  <dcterms:modified xsi:type="dcterms:W3CDTF">2021-01-29T05:34:56Z</dcterms:modified>
</cp:coreProperties>
</file>